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3FB4D">
      <w:pPr>
        <w:pStyle w:val="13"/>
        <w:rPr>
          <w:snapToGrid w:val="0"/>
          <w:color w:val="000000"/>
        </w:rPr>
      </w:pPr>
      <w:bookmarkStart w:id="0" w:name="SectionMark0"/>
      <w:r>
        <w:rPr>
          <w:snapToGrid w:val="0"/>
          <w:color w:val="000000"/>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3071495"/>
                <wp:effectExtent l="0" t="0" r="12700" b="14605"/>
                <wp:wrapNone/>
                <wp:docPr id="3" name="文本框 3"/>
                <wp:cNvGraphicFramePr/>
                <a:graphic xmlns:a="http://schemas.openxmlformats.org/drawingml/2006/main">
                  <a:graphicData uri="http://schemas.microsoft.com/office/word/2010/wordprocessingShape">
                    <wps:wsp>
                      <wps:cNvSpPr txBox="1"/>
                      <wps:spPr>
                        <a:xfrm>
                          <a:off x="0" y="0"/>
                          <a:ext cx="5969000" cy="3071495"/>
                        </a:xfrm>
                        <a:prstGeom prst="rect">
                          <a:avLst/>
                        </a:prstGeom>
                        <a:solidFill>
                          <a:srgbClr val="FFFFFF"/>
                        </a:solidFill>
                        <a:ln>
                          <a:noFill/>
                        </a:ln>
                      </wps:spPr>
                      <wps:txbx>
                        <w:txbxContent>
                          <w:p w14:paraId="777A17B5">
                            <w:pPr>
                              <w:jc w:val="center"/>
                              <w:rPr>
                                <w:rFonts w:hint="eastAsia" w:ascii="黑体" w:hAnsi="黑体" w:eastAsia="黑体" w:cs="黑体"/>
                                <w:spacing w:val="-2"/>
                                <w:position w:val="31"/>
                                <w:sz w:val="52"/>
                                <w:szCs w:val="52"/>
                              </w:rPr>
                            </w:pPr>
                            <w:r>
                              <w:rPr>
                                <w:rFonts w:hint="eastAsia" w:ascii="黑体" w:hAnsi="黑体" w:eastAsia="黑体" w:cs="黑体"/>
                                <w:spacing w:val="-2"/>
                                <w:position w:val="31"/>
                                <w:sz w:val="52"/>
                                <w:szCs w:val="52"/>
                              </w:rPr>
                              <w:t>食品安全地方标准</w:t>
                            </w:r>
                          </w:p>
                          <w:p w14:paraId="21EC5FE9">
                            <w:pPr>
                              <w:pStyle w:val="18"/>
                              <w:spacing w:before="0" w:line="240" w:lineRule="auto"/>
                              <w:rPr>
                                <w:rFonts w:hint="eastAsia" w:ascii="黑体" w:hAnsi="黑体" w:eastAsia="黑体" w:cs="黑体"/>
                                <w:spacing w:val="-2"/>
                                <w:position w:val="31"/>
                                <w:sz w:val="52"/>
                                <w:szCs w:val="52"/>
                              </w:rPr>
                            </w:pPr>
                            <w:r>
                              <w:rPr>
                                <w:rFonts w:hint="eastAsia" w:ascii="黑体" w:hAnsi="黑体" w:eastAsia="黑体" w:cs="黑体"/>
                                <w:spacing w:val="-2"/>
                                <w:position w:val="31"/>
                                <w:sz w:val="52"/>
                                <w:szCs w:val="52"/>
                              </w:rPr>
                              <w:t>桑黄</w:t>
                            </w:r>
                          </w:p>
                          <w:p w14:paraId="04282984">
                            <w:pPr>
                              <w:pStyle w:val="18"/>
                              <w:spacing w:before="0" w:line="240" w:lineRule="auto"/>
                              <w:rPr>
                                <w:rFonts w:hint="eastAsia" w:ascii="楷体_GB2312" w:hAnsi="楷体_GB2312" w:eastAsia="楷体_GB2312" w:cs="楷体_GB2312"/>
                                <w:spacing w:val="-2"/>
                                <w:position w:val="31"/>
                                <w:sz w:val="36"/>
                                <w:szCs w:val="36"/>
                              </w:rPr>
                            </w:pPr>
                          </w:p>
                          <w:p w14:paraId="13CD6574">
                            <w:pPr>
                              <w:pStyle w:val="18"/>
                              <w:rPr>
                                <w:sz w:val="32"/>
                                <w:szCs w:val="32"/>
                              </w:rPr>
                            </w:pPr>
                            <w:r>
                              <w:rPr>
                                <w:rFonts w:hint="eastAsia"/>
                                <w:color w:val="FF0000"/>
                              </w:rPr>
                              <w:t xml:space="preserve"> </w:t>
                            </w:r>
                          </w:p>
                          <w:p w14:paraId="49B9C4F8">
                            <w:pPr>
                              <w:pStyle w:val="19"/>
                            </w:pPr>
                          </w:p>
                          <w:p w14:paraId="76C62FEA">
                            <w:pPr>
                              <w:pStyle w:val="20"/>
                            </w:pPr>
                          </w:p>
                          <w:p w14:paraId="2C290B56">
                            <w:pPr>
                              <w:pStyle w:val="21"/>
                            </w:pPr>
                          </w:p>
                        </w:txbxContent>
                      </wps:txbx>
                      <wps:bodyPr lIns="0" tIns="0" rIns="0" bIns="0" upright="1"/>
                    </wps:wsp>
                  </a:graphicData>
                </a:graphic>
              </wp:anchor>
            </w:drawing>
          </mc:Choice>
          <mc:Fallback>
            <w:pict>
              <v:shape id="_x0000_s1026" o:spid="_x0000_s1026" o:spt="202" type="#_x0000_t202" style="position:absolute;left:0pt;margin-left:0pt;margin-top:286.25pt;height:241.85pt;width:470pt;mso-position-horizontal-relative:margin;mso-position-vertical-relative:margin;z-index:251660288;mso-width-relative:page;mso-height-relative:page;" fillcolor="#FFFFFF" filled="t" stroked="f" coordsize="21600,21600" o:gfxdata="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qA0YfYAAAACQEAAA8AAAAAAAAAAQAgAAAAIgAA&#10;AGRycy9kb3ducmV2LnhtbFBLAQIUABQAAAAIAIdO4kBCpqIxzwEAAJwDAAAOAAAAAAAAAAEAIAAA&#10;ACcBAABkcnMvZTJvRG9jLnhtbFBLBQYAAAAABgAGAFkBAABoBQAAAAA=&#10;">
                <v:fill on="t" focussize="0,0"/>
                <v:stroke on="f"/>
                <v:imagedata o:title=""/>
                <o:lock v:ext="edit" aspectratio="f"/>
                <v:textbox inset="0mm,0mm,0mm,0mm">
                  <w:txbxContent>
                    <w:p w14:paraId="777A17B5">
                      <w:pPr>
                        <w:jc w:val="center"/>
                        <w:rPr>
                          <w:rFonts w:hint="eastAsia" w:ascii="黑体" w:hAnsi="黑体" w:eastAsia="黑体" w:cs="黑体"/>
                          <w:spacing w:val="-2"/>
                          <w:position w:val="31"/>
                          <w:sz w:val="52"/>
                          <w:szCs w:val="52"/>
                        </w:rPr>
                      </w:pPr>
                      <w:r>
                        <w:rPr>
                          <w:rFonts w:hint="eastAsia" w:ascii="黑体" w:hAnsi="黑体" w:eastAsia="黑体" w:cs="黑体"/>
                          <w:spacing w:val="-2"/>
                          <w:position w:val="31"/>
                          <w:sz w:val="52"/>
                          <w:szCs w:val="52"/>
                        </w:rPr>
                        <w:t>食品安全地方标准</w:t>
                      </w:r>
                    </w:p>
                    <w:p w14:paraId="21EC5FE9">
                      <w:pPr>
                        <w:pStyle w:val="18"/>
                        <w:spacing w:before="0" w:line="240" w:lineRule="auto"/>
                        <w:rPr>
                          <w:rFonts w:hint="eastAsia" w:ascii="黑体" w:hAnsi="黑体" w:eastAsia="黑体" w:cs="黑体"/>
                          <w:spacing w:val="-2"/>
                          <w:position w:val="31"/>
                          <w:sz w:val="52"/>
                          <w:szCs w:val="52"/>
                        </w:rPr>
                      </w:pPr>
                      <w:r>
                        <w:rPr>
                          <w:rFonts w:hint="eastAsia" w:ascii="黑体" w:hAnsi="黑体" w:eastAsia="黑体" w:cs="黑体"/>
                          <w:spacing w:val="-2"/>
                          <w:position w:val="31"/>
                          <w:sz w:val="52"/>
                          <w:szCs w:val="52"/>
                        </w:rPr>
                        <w:t>桑黄</w:t>
                      </w:r>
                    </w:p>
                    <w:p w14:paraId="04282984">
                      <w:pPr>
                        <w:pStyle w:val="18"/>
                        <w:spacing w:before="0" w:line="240" w:lineRule="auto"/>
                        <w:rPr>
                          <w:rFonts w:hint="eastAsia" w:ascii="楷体_GB2312" w:hAnsi="楷体_GB2312" w:eastAsia="楷体_GB2312" w:cs="楷体_GB2312"/>
                          <w:spacing w:val="-2"/>
                          <w:position w:val="31"/>
                          <w:sz w:val="36"/>
                          <w:szCs w:val="36"/>
                        </w:rPr>
                      </w:pPr>
                    </w:p>
                    <w:p w14:paraId="13CD6574">
                      <w:pPr>
                        <w:pStyle w:val="18"/>
                        <w:rPr>
                          <w:sz w:val="32"/>
                          <w:szCs w:val="32"/>
                        </w:rPr>
                      </w:pPr>
                      <w:r>
                        <w:rPr>
                          <w:rFonts w:hint="eastAsia"/>
                          <w:color w:val="FF0000"/>
                        </w:rPr>
                        <w:t xml:space="preserve"> </w:t>
                      </w:r>
                    </w:p>
                    <w:p w14:paraId="49B9C4F8">
                      <w:pPr>
                        <w:pStyle w:val="19"/>
                      </w:pPr>
                    </w:p>
                    <w:p w14:paraId="76C62FEA">
                      <w:pPr>
                        <w:pStyle w:val="20"/>
                      </w:pPr>
                    </w:p>
                    <w:p w14:paraId="2C290B56">
                      <w:pPr>
                        <w:pStyle w:val="21"/>
                      </w:pPr>
                    </w:p>
                  </w:txbxContent>
                </v:textbox>
                <w10:anchorlock/>
              </v:shape>
            </w:pict>
          </mc:Fallback>
        </mc:AlternateContent>
      </w:r>
      <w:r>
        <w:rPr>
          <w:snapToGrid w:val="0"/>
          <w:color w:val="000000"/>
        </w:rPr>
        <mc:AlternateContent>
          <mc:Choice Requires="wps">
            <w:drawing>
              <wp:anchor distT="0" distB="0" distL="114300" distR="114300" simplePos="0" relativeHeight="251659264" behindDoc="0" locked="1" layoutInCell="1" allowOverlap="1">
                <wp:simplePos x="0" y="0"/>
                <wp:positionH relativeFrom="margin">
                  <wp:posOffset>-81280</wp:posOffset>
                </wp:positionH>
                <wp:positionV relativeFrom="margin">
                  <wp:posOffset>1202055</wp:posOffset>
                </wp:positionV>
                <wp:extent cx="6120130" cy="438785"/>
                <wp:effectExtent l="0" t="0" r="13970" b="18415"/>
                <wp:wrapNone/>
                <wp:docPr id="2" name="文本框 2"/>
                <wp:cNvGraphicFramePr/>
                <a:graphic xmlns:a="http://schemas.openxmlformats.org/drawingml/2006/main">
                  <a:graphicData uri="http://schemas.microsoft.com/office/word/2010/wordprocessingShape">
                    <wps:wsp>
                      <wps:cNvSpPr txBox="1"/>
                      <wps:spPr>
                        <a:xfrm>
                          <a:off x="0" y="0"/>
                          <a:ext cx="6120130" cy="438785"/>
                        </a:xfrm>
                        <a:prstGeom prst="rect">
                          <a:avLst/>
                        </a:prstGeom>
                        <a:solidFill>
                          <a:srgbClr val="FFFFFF"/>
                        </a:solidFill>
                        <a:ln>
                          <a:noFill/>
                        </a:ln>
                      </wps:spPr>
                      <wps:txbx>
                        <w:txbxContent>
                          <w:p w14:paraId="70D96571">
                            <w:pPr>
                              <w:pStyle w:val="22"/>
                              <w:rPr>
                                <w:rFonts w:hint="eastAsia"/>
                              </w:rPr>
                            </w:pPr>
                            <w:r>
                              <w:rPr>
                                <w:rFonts w:hint="eastAsia"/>
                              </w:rPr>
                              <w:t>山东省食品安全地方标准</w:t>
                            </w:r>
                          </w:p>
                        </w:txbxContent>
                      </wps:txbx>
                      <wps:bodyPr wrap="square" lIns="0" tIns="0" rIns="0" bIns="0" upright="1"/>
                    </wps:wsp>
                  </a:graphicData>
                </a:graphic>
              </wp:anchor>
            </w:drawing>
          </mc:Choice>
          <mc:Fallback>
            <w:pict>
              <v:shape id="_x0000_s1026" o:spid="_x0000_s1026" o:spt="202" type="#_x0000_t202" style="position:absolute;left:0pt;margin-left:-6.4pt;margin-top:94.65pt;height:34.55pt;width:481.9pt;mso-position-horizontal-relative:margin;mso-position-vertical-relative:margin;z-index:251659264;mso-width-relative:page;mso-height-relative:page;" fillcolor="#FFFFFF" filled="t" stroked="f" coordsize="21600,21600" o:gfxdata="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6gNZ2gAAAAsBAAAPAAAAAAAA&#10;AAEAIAAAACIAAABkcnMvZG93bnJldi54bWxQSwECFAAUAAAACACHTuJAfbetjtcBAACpAwAADgAA&#10;AAAAAAABACAAAAApAQAAZHJzL2Uyb0RvYy54bWxQSwUGAAAAAAYABgBZAQAAcgUAAAAA&#10;">
                <v:fill on="t" focussize="0,0"/>
                <v:stroke on="f"/>
                <v:imagedata o:title=""/>
                <o:lock v:ext="edit" aspectratio="f"/>
                <v:textbox inset="0mm,0mm,0mm,0mm">
                  <w:txbxContent>
                    <w:p w14:paraId="70D96571">
                      <w:pPr>
                        <w:pStyle w:val="22"/>
                        <w:rPr>
                          <w:rFonts w:hint="eastAsia"/>
                        </w:rPr>
                      </w:pPr>
                      <w:r>
                        <w:rPr>
                          <w:rFonts w:hint="eastAsia"/>
                        </w:rPr>
                        <w:t>山东省食品安全地方标准</w:t>
                      </w:r>
                    </w:p>
                  </w:txbxContent>
                </v:textbox>
                <w10:anchorlock/>
              </v:shape>
            </w:pict>
          </mc:Fallback>
        </mc:AlternateContent>
      </w:r>
      <w:bookmarkEnd w:id="0"/>
    </w:p>
    <w:p w14:paraId="320C6EB3">
      <w:pPr>
        <w:pStyle w:val="3"/>
        <w:overflowPunct w:val="0"/>
        <w:spacing w:before="39"/>
        <w:ind w:firstLine="4994" w:firstLineChars="400"/>
        <w:rPr>
          <w:rFonts w:hint="default" w:eastAsia="宋体"/>
          <w:b/>
          <w:w w:val="130"/>
          <w:sz w:val="96"/>
        </w:rPr>
      </w:pPr>
      <w:r>
        <w:rPr>
          <w:rFonts w:hint="default" w:eastAsia="Times New Roman"/>
          <w:b/>
          <w:w w:val="130"/>
          <w:sz w:val="96"/>
        </w:rPr>
        <w:t>DBS</w:t>
      </w:r>
      <w:r>
        <w:rPr>
          <w:rFonts w:eastAsia="宋体"/>
          <w:b/>
          <w:w w:val="130"/>
          <w:sz w:val="96"/>
        </w:rPr>
        <w:t>37</w:t>
      </w:r>
    </w:p>
    <w:p w14:paraId="21FF8592">
      <w:pPr>
        <w:pStyle w:val="2"/>
        <w:tabs>
          <w:tab w:val="clear" w:pos="360"/>
        </w:tabs>
        <w:overflowPunct w:val="0"/>
        <w:jc w:val="right"/>
        <w:rPr>
          <w:rFonts w:ascii="Times New Roman" w:hAnsi="Times New Roman" w:eastAsia="Times New Roman"/>
          <w:sz w:val="28"/>
          <w:szCs w:val="24"/>
        </w:rPr>
      </w:pPr>
    </w:p>
    <w:p w14:paraId="62B402E3">
      <w:pPr>
        <w:pStyle w:val="2"/>
        <w:tabs>
          <w:tab w:val="clear" w:pos="360"/>
        </w:tabs>
        <w:overflowPunct w:val="0"/>
        <w:ind w:firstLine="6104" w:firstLineChars="1900"/>
        <w:jc w:val="both"/>
        <w:rPr>
          <w:rFonts w:hint="eastAsia" w:ascii="黑体" w:hAnsi="黑体" w:cs="黑体"/>
          <w:sz w:val="28"/>
          <w:szCs w:val="24"/>
        </w:rPr>
      </w:pPr>
      <w: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359410</wp:posOffset>
                </wp:positionV>
                <wp:extent cx="61214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_x0000_s1026" o:spid="_x0000_s1026" o:spt="20" style="position:absolute;left:0pt;margin-left:5pt;margin-top:28.3pt;height:0pt;width:482pt;z-index:251661312;mso-width-relative:page;mso-height-relative:page;" filled="f" stroked="t" coordsize="21600,21600" o:gfxdata="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v9&#10;DiHUAAAACAEAAA8AAAAAAAAAAQAgAAAAIgAAAGRycy9kb3ducmV2LnhtbFBLAQIUABQAAAAIAIdO&#10;4kCet34W7gEAANkDAAAOAAAAAAAAAAEAIAAAACMBAABkcnMvZTJvRG9jLnhtbFBLBQYAAAAABgAG&#10;AFkBAACDBQAAAAA=&#10;">
                <v:fill on="f" focussize="0,0"/>
                <v:stroke weight="1pt" color="#800008" joinstyle="round"/>
                <v:imagedata o:title=""/>
                <o:lock v:ext="edit" aspectratio="f"/>
              </v:line>
            </w:pict>
          </mc:Fallback>
        </mc:AlternateContent>
      </w:r>
      <w:r>
        <w:rPr>
          <w:rFonts w:hint="eastAsia"/>
        </w:rPr>
        <w:t xml:space="preserve">       </w:t>
      </w:r>
      <w:bookmarkStart w:id="1" w:name="OLE_LINK2"/>
      <w:r>
        <w:rPr>
          <w:rFonts w:hint="eastAsia" w:ascii="Times New Roman" w:hAnsi="Times New Roman" w:eastAsia="宋体"/>
          <w:sz w:val="28"/>
          <w:szCs w:val="24"/>
        </w:rPr>
        <w:t>D</w:t>
      </w:r>
      <w:r>
        <w:rPr>
          <w:rFonts w:hint="eastAsia" w:ascii="Times New Roman" w:hAnsi="Times New Roman" w:eastAsia="宋体" w:cs="Times New Roman"/>
          <w:sz w:val="28"/>
          <w:szCs w:val="24"/>
        </w:rPr>
        <w:t>BS</w:t>
      </w:r>
      <w:r>
        <w:rPr>
          <w:rFonts w:ascii="Times New Roman" w:hAnsi="Times New Roman" w:eastAsia="Times New Roman"/>
          <w:b w:val="0"/>
          <w:bCs w:val="0"/>
          <w:sz w:val="28"/>
          <w:szCs w:val="24"/>
        </w:rPr>
        <w:t xml:space="preserve"> </w:t>
      </w:r>
      <w:r>
        <w:rPr>
          <w:rFonts w:hint="eastAsia" w:ascii="黑体" w:hAnsi="黑体" w:cs="黑体"/>
          <w:b w:val="0"/>
          <w:bCs w:val="0"/>
          <w:sz w:val="28"/>
          <w:szCs w:val="24"/>
        </w:rPr>
        <w:t>37/005-2026</w:t>
      </w:r>
      <w:bookmarkEnd w:id="1"/>
    </w:p>
    <w:p w14:paraId="2EDF97EE">
      <w:pPr>
        <w:pStyle w:val="14"/>
        <w:rPr>
          <w:snapToGrid w:val="0"/>
          <w:color w:val="000000"/>
        </w:rPr>
      </w:pPr>
    </w:p>
    <w:p w14:paraId="52D45AA7">
      <w:pPr>
        <w:pStyle w:val="16"/>
        <w:ind w:firstLine="420"/>
      </w:pPr>
    </w:p>
    <w:p w14:paraId="37A6A6AA">
      <w:pPr>
        <w:pStyle w:val="14"/>
        <w:rPr>
          <w:snapToGrid w:val="0"/>
          <w:color w:val="000000"/>
        </w:rPr>
      </w:pPr>
    </w:p>
    <w:p w14:paraId="0F54941D">
      <w:pPr>
        <w:pStyle w:val="14"/>
        <w:rPr>
          <w:snapToGrid w:val="0"/>
          <w:color w:val="000000"/>
        </w:rPr>
      </w:pPr>
    </w:p>
    <w:p w14:paraId="3AC2D388">
      <w:pPr>
        <w:pStyle w:val="14"/>
        <w:rPr>
          <w:snapToGrid w:val="0"/>
          <w:color w:val="000000"/>
        </w:rPr>
      </w:pPr>
    </w:p>
    <w:p w14:paraId="5F39EEAF">
      <w:pPr>
        <w:pStyle w:val="14"/>
        <w:rPr>
          <w:snapToGrid w:val="0"/>
          <w:color w:val="000000"/>
        </w:rPr>
      </w:pPr>
    </w:p>
    <w:p w14:paraId="4C868717">
      <w:pPr>
        <w:tabs>
          <w:tab w:val="left" w:pos="360"/>
        </w:tabs>
        <w:spacing w:after="156" w:afterLines="50" w:line="360" w:lineRule="auto"/>
        <w:rPr>
          <w:rFonts w:eastAsia="黑体"/>
          <w:bCs/>
          <w:sz w:val="32"/>
          <w:szCs w:val="32"/>
        </w:rPr>
      </w:pPr>
      <w:r>
        <w:tab/>
      </w:r>
    </w:p>
    <w:p w14:paraId="5FF95D30">
      <w:pPr>
        <w:pStyle w:val="14"/>
        <w:jc w:val="both"/>
        <w:rPr>
          <w:rFonts w:ascii="Times New Roman"/>
          <w:snapToGrid w:val="0"/>
          <w:color w:val="000000"/>
          <w:sz w:val="28"/>
          <w:szCs w:val="28"/>
        </w:rPr>
      </w:pPr>
    </w:p>
    <w:p w14:paraId="7C78E07D">
      <w:pPr>
        <w:pStyle w:val="14"/>
        <w:ind w:firstLine="560" w:firstLineChars="200"/>
        <w:jc w:val="both"/>
        <w:rPr>
          <w:rFonts w:ascii="Times New Roman"/>
          <w:sz w:val="28"/>
          <w:szCs w:val="28"/>
        </w:rPr>
      </w:pPr>
      <w:r>
        <w:rPr>
          <w:rFonts w:ascii="Times New Roman"/>
          <w:snapToGrid w:val="0"/>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-142875</wp:posOffset>
                </wp:positionH>
                <wp:positionV relativeFrom="paragraph">
                  <wp:posOffset>547370</wp:posOffset>
                </wp:positionV>
                <wp:extent cx="592137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921375" cy="635"/>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_x0000_s1026" o:spid="_x0000_s1026" o:spt="20" style="position:absolute;left:0pt;margin-left:-11.25pt;margin-top:43.1pt;height:0.05pt;width:466.25pt;z-index:251663360;mso-width-relative:page;mso-height-relative:page;" filled="f" stroked="t" coordsize="21600,21600" o:gfxdata="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SiL5/WAAAACQEAAA8AAAAAAAAAAQAgAAAAIgAAAGRycy9kb3ducmV2LnhtbFBLAQIUABQA&#10;AAAIAIdO4kCfNeLz8gEAANsDAAAOAAAAAAAAAAEAIAAAACUBAABkcnMvZTJvRG9jLnhtbFBLBQYA&#10;AAAABgAGAFkBAACJBQAAAAA=&#10;">
                <v:fill on="f" focussize="0,0"/>
                <v:stroke weight="1pt" color="#800008" joinstyle="round"/>
                <v:imagedata o:title=""/>
                <o:lock v:ext="edit" aspectratio="f"/>
              </v:line>
            </w:pict>
          </mc:Fallback>
        </mc:AlternateContent>
      </w:r>
      <w:r>
        <w:rPr>
          <w:rFonts w:hint="eastAsia" w:ascii="Times New Roman"/>
          <w:snapToGrid w:val="0"/>
          <w:color w:val="000000"/>
          <w:sz w:val="28"/>
          <w:szCs w:val="28"/>
        </w:rPr>
        <w:t>2026</w:t>
      </w:r>
      <w:r>
        <w:rPr>
          <w:rFonts w:ascii="Times New Roman"/>
          <w:snapToGrid w:val="0"/>
          <w:color w:val="000000"/>
          <w:sz w:val="28"/>
          <w:szCs w:val="28"/>
        </w:rPr>
        <w:t>-</w:t>
      </w:r>
      <w:r>
        <w:rPr>
          <w:rFonts w:hint="eastAsia" w:ascii="Times New Roman"/>
          <w:snapToGrid w:val="0"/>
          <w:color w:val="000000"/>
          <w:sz w:val="28"/>
          <w:szCs w:val="28"/>
        </w:rPr>
        <w:t>05</w:t>
      </w:r>
      <w:r>
        <w:rPr>
          <w:rFonts w:ascii="Times New Roman"/>
          <w:snapToGrid w:val="0"/>
          <w:color w:val="000000"/>
          <w:sz w:val="28"/>
          <w:szCs w:val="28"/>
        </w:rPr>
        <w:t>-</w:t>
      </w:r>
      <w:r>
        <w:rPr>
          <w:rFonts w:hint="eastAsia" w:ascii="Times New Roman"/>
          <w:snapToGrid w:val="0"/>
          <w:color w:val="000000"/>
          <w:sz w:val="28"/>
          <w:szCs w:val="28"/>
          <w:lang w:val="en-US" w:eastAsia="zh-CN"/>
        </w:rPr>
        <w:t xml:space="preserve">06 </w:t>
      </w:r>
      <w:bookmarkStart w:id="10" w:name="_GoBack"/>
      <w:bookmarkEnd w:id="10"/>
      <w:r>
        <w:rPr>
          <w:rFonts w:ascii="Times New Roman"/>
          <w:sz w:val="28"/>
          <w:szCs w:val="28"/>
        </w:rPr>
        <w:t xml:space="preserve">发布                     </w:t>
      </w:r>
      <w:r>
        <w:rPr>
          <w:rFonts w:hint="eastAsia" w:ascii="Times New Roman"/>
          <w:sz w:val="28"/>
          <w:szCs w:val="28"/>
        </w:rPr>
        <w:t xml:space="preserve">                 </w:t>
      </w:r>
      <w:r>
        <w:rPr>
          <w:rFonts w:ascii="Times New Roman"/>
          <w:sz w:val="28"/>
          <w:szCs w:val="28"/>
        </w:rPr>
        <w:t xml:space="preserve">      </w:t>
      </w:r>
      <w:r>
        <w:rPr>
          <w:rFonts w:hint="eastAsia" w:ascii="Times New Roman"/>
          <w:sz w:val="28"/>
          <w:szCs w:val="28"/>
        </w:rPr>
        <w:t xml:space="preserve">       2026</w:t>
      </w:r>
      <w:r>
        <w:rPr>
          <w:rFonts w:ascii="Times New Roman"/>
          <w:sz w:val="28"/>
          <w:szCs w:val="28"/>
        </w:rPr>
        <w:t>-</w:t>
      </w:r>
      <w:r>
        <w:rPr>
          <w:rFonts w:hint="eastAsia" w:ascii="Times New Roman"/>
          <w:sz w:val="28"/>
          <w:szCs w:val="28"/>
        </w:rPr>
        <w:t>0</w:t>
      </w:r>
      <w:r>
        <w:rPr>
          <w:rFonts w:hint="eastAsia" w:ascii="Times New Roman"/>
          <w:sz w:val="28"/>
          <w:szCs w:val="28"/>
          <w:lang w:val="en-US" w:eastAsia="zh-CN"/>
        </w:rPr>
        <w:t>6</w:t>
      </w:r>
      <w:r>
        <w:rPr>
          <w:rFonts w:ascii="Times New Roman"/>
          <w:sz w:val="28"/>
          <w:szCs w:val="28"/>
        </w:rPr>
        <w:t>-</w:t>
      </w:r>
      <w:r>
        <w:rPr>
          <w:rFonts w:hint="eastAsia" w:ascii="Times New Roman"/>
          <w:sz w:val="28"/>
          <w:szCs w:val="28"/>
          <w:lang w:val="en-US" w:eastAsia="zh-CN"/>
        </w:rPr>
        <w:t xml:space="preserve">06 </w:t>
      </w:r>
      <w:r>
        <w:rPr>
          <w:rFonts w:ascii="Times New Roman"/>
          <w:sz w:val="28"/>
          <w:szCs w:val="28"/>
        </w:rPr>
        <w:t>实施</w:t>
      </w:r>
    </w:p>
    <w:p w14:paraId="44490462">
      <w:pPr>
        <w:pStyle w:val="14"/>
        <w:ind w:firstLine="1767" w:firstLineChars="400"/>
        <w:jc w:val="both"/>
        <w:rPr>
          <w:sz w:val="28"/>
          <w:szCs w:val="28"/>
        </w:rPr>
        <w:sectPr>
          <w:headerReference r:id="rId4" w:type="first"/>
          <w:footerReference r:id="rId6" w:type="first"/>
          <w:headerReference r:id="rId3" w:type="default"/>
          <w:footerReference r:id="rId5" w:type="default"/>
          <w:pgSz w:w="11907" w:h="16839"/>
          <w:pgMar w:top="1418" w:right="1134" w:bottom="1134" w:left="1418" w:header="1418" w:footer="851" w:gutter="0"/>
          <w:pgNumType w:start="1"/>
          <w:cols w:space="720" w:num="1"/>
          <w:titlePg/>
          <w:docGrid w:type="lines" w:linePitch="312" w:charSpace="0"/>
        </w:sectPr>
      </w:pPr>
      <w:r>
        <w:rPr>
          <w:rFonts w:hint="eastAsia" w:ascii="宋体" w:hAnsi="宋体" w:eastAsia="宋体" w:cs="宋体"/>
          <w:b/>
          <w:bCs/>
          <w:sz w:val="44"/>
          <w:szCs w:val="44"/>
        </w:rPr>
        <w:t>山东省卫生健康委员会</w:t>
      </w:r>
      <w:r>
        <w:rPr>
          <w:rFonts w:hint="eastAsia"/>
          <w:sz w:val="36"/>
          <w:szCs w:val="36"/>
        </w:rPr>
        <w:t xml:space="preserve">  </w:t>
      </w:r>
      <w:r>
        <w:rPr>
          <w:rFonts w:hint="eastAsia"/>
          <w:spacing w:val="20"/>
          <w:w w:val="135"/>
          <w:sz w:val="28"/>
          <w:szCs w:val="28"/>
        </w:rPr>
        <w:t>发布</w:t>
      </w:r>
    </w:p>
    <w:p w14:paraId="403A0FE0">
      <w:pPr>
        <w:spacing w:before="42" w:line="265" w:lineRule="exact"/>
        <w:jc w:val="both"/>
        <w:rPr>
          <w:rFonts w:hint="eastAsia" w:ascii="黑体" w:hAnsi="黑体" w:eastAsia="黑体" w:cs="黑体"/>
          <w:sz w:val="20"/>
          <w:szCs w:val="20"/>
        </w:rPr>
      </w:pPr>
    </w:p>
    <w:p w14:paraId="0E7FC9E9">
      <w:pPr>
        <w:spacing w:line="247" w:lineRule="auto"/>
      </w:pPr>
    </w:p>
    <w:p w14:paraId="5771B8B3">
      <w:pPr>
        <w:spacing w:line="277" w:lineRule="auto"/>
      </w:pPr>
    </w:p>
    <w:p w14:paraId="40C788B0">
      <w:pPr>
        <w:spacing w:before="100" w:line="228" w:lineRule="auto"/>
        <w:ind w:left="4249"/>
        <w:outlineLvl w:val="0"/>
        <w:rPr>
          <w:rFonts w:hint="eastAsia" w:ascii="黑体" w:hAnsi="黑体" w:eastAsia="黑体" w:cs="黑体"/>
          <w:sz w:val="31"/>
          <w:szCs w:val="31"/>
        </w:rPr>
      </w:pPr>
      <w:bookmarkStart w:id="2" w:name="_bookmark1"/>
      <w:bookmarkEnd w:id="2"/>
      <w:r>
        <w:rPr>
          <w:rFonts w:ascii="黑体" w:hAnsi="黑体" w:eastAsia="黑体" w:cs="黑体"/>
          <w:spacing w:val="7"/>
          <w:sz w:val="31"/>
          <w:szCs w:val="31"/>
        </w:rPr>
        <w:t>前    言</w:t>
      </w:r>
    </w:p>
    <w:p w14:paraId="41D3A3BA">
      <w:pPr>
        <w:spacing w:line="269" w:lineRule="auto"/>
      </w:pPr>
    </w:p>
    <w:p w14:paraId="6F3CDD9A">
      <w:pPr>
        <w:spacing w:line="269" w:lineRule="auto"/>
      </w:pPr>
    </w:p>
    <w:p w14:paraId="0D0E3E48">
      <w:pPr>
        <w:pStyle w:val="23"/>
        <w:spacing w:line="360" w:lineRule="auto"/>
        <w:ind w:firstLine="420"/>
        <w:rPr>
          <w:rFonts w:hint="eastAsia" w:hAnsi="宋体" w:cs="黑体"/>
          <w:snapToGrid w:val="0"/>
          <w:color w:val="000000"/>
          <w:szCs w:val="21"/>
        </w:rPr>
      </w:pPr>
      <w:r>
        <w:rPr>
          <w:rFonts w:hint="eastAsia" w:hAnsi="宋体" w:cs="黑体"/>
          <w:snapToGrid w:val="0"/>
          <w:color w:val="000000"/>
          <w:szCs w:val="21"/>
        </w:rPr>
        <w:t>本标准由山东省卫生健康委员会归口。</w:t>
      </w:r>
    </w:p>
    <w:p w14:paraId="767801D5">
      <w:pPr>
        <w:pStyle w:val="23"/>
        <w:spacing w:line="360" w:lineRule="auto"/>
        <w:ind w:firstLine="420"/>
        <w:rPr>
          <w:rFonts w:hint="eastAsia" w:hAnsi="宋体" w:cs="黑体"/>
          <w:snapToGrid w:val="0"/>
          <w:color w:val="000000"/>
          <w:szCs w:val="21"/>
        </w:rPr>
      </w:pPr>
      <w:r>
        <w:rPr>
          <w:rFonts w:hint="eastAsia" w:hAnsi="宋体" w:cs="黑体"/>
          <w:snapToGrid w:val="0"/>
          <w:color w:val="000000"/>
          <w:szCs w:val="21"/>
        </w:rPr>
        <w:t>本标准起草单位：山东省疾病预防控制中心，德州市疾病预防控制中心、聊城市疾病预防控制中心、滨州市疾病预防控制中心。</w:t>
      </w:r>
    </w:p>
    <w:p w14:paraId="74EB32A0">
      <w:pPr>
        <w:pStyle w:val="23"/>
        <w:spacing w:line="360" w:lineRule="auto"/>
        <w:ind w:firstLine="420"/>
        <w:rPr>
          <w:rFonts w:hint="eastAsia" w:hAnsi="宋体" w:cs="黑体"/>
          <w:snapToGrid w:val="0"/>
          <w:color w:val="000000"/>
          <w:szCs w:val="21"/>
        </w:rPr>
      </w:pPr>
      <w:r>
        <w:rPr>
          <w:rFonts w:hint="eastAsia" w:hAnsi="宋体" w:cs="黑体"/>
          <w:snapToGrid w:val="0"/>
          <w:color w:val="000000"/>
          <w:szCs w:val="21"/>
        </w:rPr>
        <w:t>本标准主要起草人：王连森、申华伟、王立友、史清松、刘风仙、朱吉玮、</w:t>
      </w:r>
      <w:r>
        <w:rPr>
          <w:rFonts w:hAnsi="宋体" w:cs="黑体"/>
          <w:snapToGrid w:val="0"/>
          <w:color w:val="000000"/>
          <w:szCs w:val="21"/>
        </w:rPr>
        <w:t>蔡玉虎、李欣悦</w:t>
      </w:r>
      <w:r>
        <w:rPr>
          <w:rFonts w:hint="eastAsia" w:hAnsi="宋体" w:cs="黑体"/>
          <w:snapToGrid w:val="0"/>
          <w:color w:val="000000"/>
          <w:szCs w:val="21"/>
        </w:rPr>
        <w:t>、张国英</w:t>
      </w:r>
      <w:r>
        <w:rPr>
          <w:rFonts w:hint="eastAsia" w:hAnsi="宋体" w:cs="黑体"/>
          <w:snapToGrid w:val="0"/>
          <w:color w:val="000000"/>
          <w:szCs w:val="21"/>
          <w:lang w:eastAsia="zh-CN"/>
        </w:rPr>
        <w:t>、</w:t>
      </w:r>
      <w:r>
        <w:rPr>
          <w:rFonts w:hAnsi="宋体" w:cs="黑体"/>
          <w:snapToGrid w:val="0"/>
          <w:color w:val="000000"/>
          <w:szCs w:val="21"/>
        </w:rPr>
        <w:t>苑德军、</w:t>
      </w:r>
      <w:r>
        <w:rPr>
          <w:rFonts w:hint="eastAsia" w:hAnsi="宋体" w:cs="黑体"/>
          <w:snapToGrid w:val="0"/>
          <w:color w:val="000000"/>
          <w:szCs w:val="21"/>
        </w:rPr>
        <w:t>王荣祥、</w:t>
      </w:r>
      <w:r>
        <w:rPr>
          <w:rFonts w:hAnsi="宋体" w:cs="黑体"/>
          <w:snapToGrid w:val="0"/>
          <w:color w:val="000000"/>
          <w:szCs w:val="21"/>
        </w:rPr>
        <w:t>张培、孔维玺</w:t>
      </w:r>
      <w:r>
        <w:rPr>
          <w:rFonts w:hint="eastAsia" w:hAnsi="宋体" w:cs="黑体"/>
          <w:snapToGrid w:val="0"/>
          <w:color w:val="000000"/>
          <w:szCs w:val="21"/>
        </w:rPr>
        <w:t>、李玲。</w:t>
      </w:r>
    </w:p>
    <w:p w14:paraId="7E0213D7">
      <w:pPr>
        <w:sectPr>
          <w:headerReference r:id="rId7" w:type="default"/>
          <w:footerReference r:id="rId8" w:type="default"/>
          <w:pgSz w:w="11906" w:h="16839"/>
          <w:pgMar w:top="1406" w:right="1133" w:bottom="1311" w:left="1427" w:header="0" w:footer="1134" w:gutter="0"/>
          <w:cols w:space="720" w:num="1"/>
        </w:sectPr>
      </w:pPr>
    </w:p>
    <w:p w14:paraId="30C018B7">
      <w:pPr>
        <w:spacing w:line="254" w:lineRule="auto"/>
      </w:pPr>
    </w:p>
    <w:p w14:paraId="5480F6D3">
      <w:pPr>
        <w:spacing w:line="254" w:lineRule="auto"/>
      </w:pPr>
    </w:p>
    <w:p w14:paraId="7289EE64">
      <w:pPr>
        <w:spacing w:before="101" w:line="227" w:lineRule="auto"/>
        <w:jc w:val="center"/>
        <w:rPr>
          <w:rFonts w:hint="eastAsia" w:ascii="黑体" w:hAnsi="黑体" w:eastAsia="黑体" w:cs="黑体"/>
          <w:spacing w:val="15"/>
          <w:sz w:val="31"/>
          <w:szCs w:val="31"/>
        </w:rPr>
      </w:pPr>
      <w:r>
        <w:rPr>
          <w:rFonts w:hint="eastAsia" w:ascii="黑体" w:hAnsi="黑体" w:eastAsia="黑体" w:cs="黑体"/>
          <w:spacing w:val="15"/>
          <w:sz w:val="31"/>
          <w:szCs w:val="31"/>
        </w:rPr>
        <w:t>食品安全地方标准</w:t>
      </w:r>
    </w:p>
    <w:p w14:paraId="308B6831">
      <w:pPr>
        <w:spacing w:line="320" w:lineRule="auto"/>
        <w:jc w:val="center"/>
      </w:pPr>
      <w:r>
        <w:rPr>
          <w:rFonts w:hint="eastAsia" w:ascii="黑体" w:hAnsi="黑体" w:eastAsia="黑体" w:cs="黑体"/>
          <w:spacing w:val="15"/>
          <w:sz w:val="31"/>
          <w:szCs w:val="31"/>
        </w:rPr>
        <w:t>桑黄</w:t>
      </w:r>
    </w:p>
    <w:p w14:paraId="6F28EEFF">
      <w:pPr>
        <w:spacing w:line="320" w:lineRule="auto"/>
      </w:pPr>
    </w:p>
    <w:p w14:paraId="1065AC9E">
      <w:pPr>
        <w:spacing w:line="360" w:lineRule="auto"/>
        <w:outlineLvl w:val="0"/>
        <w:rPr>
          <w:rFonts w:hint="eastAsia" w:ascii="黑体" w:hAnsi="黑体" w:eastAsia="黑体"/>
        </w:rPr>
      </w:pPr>
      <w:bookmarkStart w:id="3" w:name="_bookmark2"/>
      <w:bookmarkEnd w:id="3"/>
      <w:r>
        <w:rPr>
          <w:rFonts w:ascii="黑体" w:hAnsi="黑体" w:eastAsia="黑体" w:cs="黑体"/>
          <w:spacing w:val="4"/>
          <w:sz w:val="20"/>
          <w:szCs w:val="20"/>
        </w:rPr>
        <w:t>1</w:t>
      </w:r>
      <w:r>
        <w:rPr>
          <w:rFonts w:ascii="黑体" w:hAnsi="黑体" w:eastAsia="黑体" w:cs="黑体"/>
          <w:spacing w:val="3"/>
          <w:sz w:val="20"/>
          <w:szCs w:val="20"/>
        </w:rPr>
        <w:t xml:space="preserve"> </w:t>
      </w:r>
      <w:r>
        <w:rPr>
          <w:rFonts w:hint="eastAsia" w:ascii="黑体" w:hAnsi="黑体" w:eastAsia="黑体" w:cs="黑体"/>
          <w:spacing w:val="3"/>
          <w:sz w:val="20"/>
          <w:szCs w:val="20"/>
        </w:rPr>
        <w:t xml:space="preserve"> </w:t>
      </w:r>
      <w:r>
        <w:rPr>
          <w:rFonts w:ascii="黑体" w:hAnsi="黑体" w:eastAsia="黑体" w:cs="黑体"/>
          <w:spacing w:val="2"/>
        </w:rPr>
        <w:t>范围</w:t>
      </w:r>
    </w:p>
    <w:p w14:paraId="279BE62B">
      <w:pPr>
        <w:pStyle w:val="6"/>
        <w:shd w:val="clear" w:color="auto" w:fill="FFFFFF"/>
        <w:spacing w:before="0" w:beforeAutospacing="0" w:after="0" w:afterAutospacing="0" w:line="360" w:lineRule="auto"/>
        <w:ind w:firstLine="360"/>
        <w:jc w:val="both"/>
        <w:rPr>
          <w:rFonts w:eastAsiaTheme="minorEastAsia"/>
          <w:sz w:val="21"/>
        </w:rPr>
      </w:pPr>
      <w:r>
        <w:rPr>
          <w:rFonts w:hint="eastAsia" w:ascii="宋体" w:hAnsi="宋体" w:eastAsia="宋体" w:cs="宋体"/>
          <w:sz w:val="21"/>
        </w:rPr>
        <w:t>本标准规定了桑黄的术语和定义、技术要求、推荐食用量和不适宜人群。</w:t>
      </w:r>
      <w:r>
        <w:rPr>
          <w:rFonts w:hint="eastAsia"/>
          <w:sz w:val="21"/>
        </w:rPr>
        <w:t xml:space="preserve"> </w:t>
      </w:r>
    </w:p>
    <w:p w14:paraId="22D9BF03">
      <w:pPr>
        <w:pStyle w:val="6"/>
        <w:shd w:val="clear" w:color="auto" w:fill="FFFFFF"/>
        <w:spacing w:before="0" w:beforeAutospacing="0" w:after="0" w:afterAutospacing="0" w:line="360" w:lineRule="auto"/>
        <w:ind w:firstLine="360"/>
        <w:jc w:val="both"/>
        <w:rPr>
          <w:rFonts w:hint="eastAsia" w:ascii="宋体" w:hAnsi="宋体" w:eastAsia="宋体" w:cs="宋体"/>
          <w:sz w:val="21"/>
        </w:rPr>
      </w:pPr>
      <w:r>
        <w:rPr>
          <w:rFonts w:hint="eastAsia" w:cs="宋体" w:asciiTheme="minorEastAsia" w:hAnsiTheme="minorEastAsia" w:eastAsiaTheme="minorEastAsia"/>
          <w:spacing w:val="9"/>
          <w:sz w:val="21"/>
        </w:rPr>
        <w:t>本标准适用于山东省内</w:t>
      </w:r>
      <w:r>
        <w:rPr>
          <w:rFonts w:hint="eastAsia" w:ascii="宋体" w:hAnsi="宋体" w:eastAsia="宋体" w:cs="宋体"/>
          <w:sz w:val="21"/>
        </w:rPr>
        <w:t>人工种植且用作食品原料的桑黄干制品。</w:t>
      </w:r>
    </w:p>
    <w:p w14:paraId="1681A332">
      <w:pPr>
        <w:spacing w:line="360" w:lineRule="auto"/>
        <w:outlineLvl w:val="0"/>
        <w:rPr>
          <w:rFonts w:hint="eastAsia" w:cs="黑体" w:asciiTheme="minorEastAsia" w:hAnsiTheme="minorEastAsia" w:eastAsiaTheme="minorEastAsia"/>
          <w:spacing w:val="2"/>
        </w:rPr>
      </w:pPr>
      <w:r>
        <w:rPr>
          <w:rFonts w:hint="eastAsia" w:ascii="黑体" w:hAnsi="黑体" w:eastAsia="黑体"/>
        </w:rPr>
        <w:t>2  规范性引用文件</w:t>
      </w:r>
    </w:p>
    <w:p w14:paraId="065E651F">
      <w:pPr>
        <w:spacing w:line="360" w:lineRule="auto"/>
        <w:ind w:firstLine="420" w:firstLineChars="200"/>
        <w:outlineLvl w:val="0"/>
        <w:rPr>
          <w:rFonts w:hint="eastAsia" w:ascii="宋体" w:hAnsi="宋体" w:eastAsia="宋体" w:cs="宋体"/>
        </w:rPr>
      </w:pPr>
      <w:r>
        <w:rPr>
          <w:rFonts w:hint="eastAsia" w:ascii="宋体" w:hAnsi="宋体" w:eastAsia="宋体" w:cs="宋体"/>
        </w:rPr>
        <w:t>下列文件中的内容通过文中的规范性引用而构成本文件必不可少的条款。其中，注日期的引用文件， 仅该日期对应的版本适用于本文件；不注日期的引用文件，其最新版本（包括所有的修改单）适用于本文件。</w:t>
      </w:r>
    </w:p>
    <w:p w14:paraId="6E5A1353">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2763     食品安全国家标准 食品中农药最大残留限量</w:t>
      </w:r>
    </w:p>
    <w:p w14:paraId="10A458C8">
      <w:pPr>
        <w:spacing w:before="65" w:line="360" w:lineRule="auto"/>
        <w:ind w:firstLine="400" w:firstLineChars="200"/>
        <w:outlineLvl w:val="0"/>
        <w:rPr>
          <w:rFonts w:hint="eastAsia" w:ascii="宋体" w:hAnsi="宋体" w:eastAsia="宋体" w:cs="宋体"/>
          <w:sz w:val="20"/>
          <w:szCs w:val="20"/>
        </w:rPr>
      </w:pPr>
      <w:bookmarkStart w:id="4" w:name="OLE_LINK1"/>
      <w:r>
        <w:rPr>
          <w:rFonts w:hint="eastAsia" w:ascii="宋体" w:hAnsi="宋体" w:eastAsia="宋体" w:cs="宋体"/>
          <w:sz w:val="20"/>
          <w:szCs w:val="20"/>
        </w:rPr>
        <w:t>GB 5009.3</w:t>
      </w:r>
      <w:bookmarkEnd w:id="4"/>
      <w:r>
        <w:rPr>
          <w:rFonts w:hint="eastAsia" w:ascii="宋体" w:hAnsi="宋体" w:eastAsia="宋体" w:cs="宋体"/>
          <w:sz w:val="20"/>
          <w:szCs w:val="20"/>
        </w:rPr>
        <w:t xml:space="preserve">   食品安全国家标准 食品中水分的测定</w:t>
      </w:r>
    </w:p>
    <w:p w14:paraId="0BEEAD6D">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5009.4   食品安全国家标准 食品中灰分的测定</w:t>
      </w:r>
    </w:p>
    <w:p w14:paraId="5E7FEDFC">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5009.12  食品安全国家标准 食品中铅的测定</w:t>
      </w:r>
    </w:p>
    <w:p w14:paraId="6CD9D002">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5009.15  食品安全国家标准 食品中镉的测定</w:t>
      </w:r>
    </w:p>
    <w:p w14:paraId="7B0DD967">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5749     生活饮用水卫生标准</w:t>
      </w:r>
    </w:p>
    <w:p w14:paraId="5D5A4E36">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7718     食品安全国家标准 预包装食品标签通则</w:t>
      </w:r>
    </w:p>
    <w:p w14:paraId="6C7748F4">
      <w:pPr>
        <w:spacing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28050    食品安全国家标准 预包装食品营养标签通则</w:t>
      </w:r>
    </w:p>
    <w:p w14:paraId="3736A297">
      <w:pPr>
        <w:kinsoku/>
        <w:autoSpaceDE/>
        <w:autoSpaceDN/>
        <w:adjustRightInd/>
        <w:snapToGrid/>
        <w:spacing w:line="360" w:lineRule="auto"/>
        <w:ind w:firstLine="400" w:firstLineChars="200"/>
        <w:textAlignment w:val="auto"/>
        <w:rPr>
          <w:rFonts w:hint="eastAsia" w:ascii="宋体" w:hAnsi="宋体" w:eastAsia="宋体" w:cs="宋体"/>
          <w:sz w:val="20"/>
          <w:szCs w:val="20"/>
        </w:rPr>
      </w:pPr>
      <w:r>
        <w:rPr>
          <w:rFonts w:ascii="宋体" w:hAnsi="宋体" w:eastAsia="宋体" w:cs="宋体"/>
          <w:sz w:val="20"/>
          <w:szCs w:val="20"/>
        </w:rPr>
        <w:t>保健食品理化及卫生指标检验与评价技术指导原则（2020年版）</w:t>
      </w:r>
    </w:p>
    <w:p w14:paraId="46084EB3">
      <w:pPr>
        <w:adjustRightInd/>
        <w:snapToGrid/>
        <w:spacing w:line="360" w:lineRule="auto"/>
        <w:outlineLvl w:val="0"/>
        <w:rPr>
          <w:rFonts w:hint="eastAsia" w:ascii="黑体" w:hAnsi="黑体" w:eastAsia="黑体" w:cs="黑体"/>
          <w:spacing w:val="2"/>
        </w:rPr>
      </w:pPr>
      <w:r>
        <w:rPr>
          <w:rFonts w:hint="eastAsia" w:cs="黑体" w:asciiTheme="minorEastAsia" w:hAnsiTheme="minorEastAsia" w:eastAsiaTheme="minorEastAsia"/>
          <w:spacing w:val="2"/>
        </w:rPr>
        <w:t xml:space="preserve">3  </w:t>
      </w:r>
      <w:r>
        <w:rPr>
          <w:rFonts w:hint="eastAsia" w:ascii="黑体" w:hAnsi="黑体" w:eastAsia="黑体" w:cs="黑体"/>
          <w:spacing w:val="2"/>
        </w:rPr>
        <w:t>术语和定义</w:t>
      </w:r>
    </w:p>
    <w:p w14:paraId="47C00CAF">
      <w:pPr>
        <w:spacing w:line="360" w:lineRule="auto"/>
        <w:ind w:firstLine="456" w:firstLineChars="200"/>
        <w:rPr>
          <w:rFonts w:hint="eastAsia" w:cs="宋体" w:asciiTheme="minorEastAsia" w:hAnsiTheme="minorEastAsia" w:eastAsiaTheme="minorEastAsia"/>
          <w:spacing w:val="9"/>
        </w:rPr>
      </w:pPr>
      <w:r>
        <w:rPr>
          <w:rFonts w:hint="eastAsia" w:cs="宋体" w:asciiTheme="minorEastAsia" w:hAnsiTheme="minorEastAsia" w:eastAsiaTheme="minorEastAsia"/>
          <w:spacing w:val="9"/>
        </w:rPr>
        <w:t>下列术语和定义适用于本标准。</w:t>
      </w:r>
    </w:p>
    <w:p w14:paraId="2DB35F61">
      <w:pPr>
        <w:spacing w:line="360" w:lineRule="auto"/>
        <w:outlineLvl w:val="0"/>
        <w:rPr>
          <w:rFonts w:hint="eastAsia" w:ascii="黑体" w:hAnsi="黑体" w:eastAsia="黑体" w:cs="黑体"/>
          <w:spacing w:val="2"/>
        </w:rPr>
      </w:pPr>
      <w:r>
        <w:rPr>
          <w:rFonts w:hint="eastAsia" w:ascii="黑体" w:hAnsi="黑体" w:eastAsia="黑体" w:cs="黑体"/>
          <w:spacing w:val="2"/>
        </w:rPr>
        <w:t>3.1 桑黄</w:t>
      </w:r>
    </w:p>
    <w:p w14:paraId="555EE2DB">
      <w:pPr>
        <w:spacing w:line="360" w:lineRule="auto"/>
        <w:ind w:firstLine="420" w:firstLineChars="200"/>
        <w:rPr>
          <w:rFonts w:hint="eastAsia" w:cs="宋体" w:asciiTheme="minorEastAsia" w:hAnsiTheme="minorEastAsia" w:eastAsiaTheme="minorEastAsia"/>
          <w:lang w:bidi="ar"/>
        </w:rPr>
      </w:pPr>
      <w:bookmarkStart w:id="5" w:name="OLE_LINK6"/>
      <w:r>
        <w:rPr>
          <w:rFonts w:hint="eastAsia" w:cs="宋体" w:asciiTheme="minorEastAsia" w:hAnsiTheme="minorEastAsia" w:eastAsiaTheme="minorEastAsia"/>
          <w:lang w:bidi="ar"/>
        </w:rPr>
        <w:t>为担子菌门（Basidiomycota）、蘑菇纲（Agaricomycetes）、锈革菌目（Hymenochaetales）、锈革菌科（Hymenochaetaceae）、纤孔菌属（</w:t>
      </w:r>
      <w:r>
        <w:rPr>
          <w:rFonts w:hint="eastAsia" w:cs="宋体" w:asciiTheme="minorEastAsia" w:hAnsiTheme="minorEastAsia" w:eastAsiaTheme="minorEastAsia"/>
          <w:i/>
          <w:iCs/>
          <w:lang w:bidi="ar"/>
        </w:rPr>
        <w:t>lnonotus</w:t>
      </w:r>
      <w:r>
        <w:rPr>
          <w:rFonts w:hint="eastAsia" w:cs="宋体" w:asciiTheme="minorEastAsia" w:hAnsiTheme="minorEastAsia" w:eastAsiaTheme="minorEastAsia"/>
          <w:lang w:bidi="ar"/>
        </w:rPr>
        <w:t>）、粗毛纤孔菌（</w:t>
      </w:r>
      <w:r>
        <w:rPr>
          <w:rFonts w:hint="eastAsia" w:cs="宋体" w:asciiTheme="minorEastAsia" w:hAnsiTheme="minorEastAsia" w:eastAsiaTheme="minorEastAsia"/>
          <w:i/>
          <w:iCs/>
          <w:lang w:bidi="ar"/>
        </w:rPr>
        <w:t>Inonotus hispidus</w:t>
      </w:r>
      <w:r>
        <w:rPr>
          <w:rFonts w:hint="eastAsia" w:cs="宋体" w:asciiTheme="minorEastAsia" w:hAnsiTheme="minorEastAsia" w:eastAsiaTheme="minorEastAsia"/>
          <w:lang w:bidi="ar"/>
        </w:rPr>
        <w:t>）</w:t>
      </w:r>
      <w:bookmarkStart w:id="6" w:name="OLE_LINK132"/>
      <w:r>
        <w:rPr>
          <w:rFonts w:hint="eastAsia" w:cs="宋体" w:asciiTheme="minorEastAsia" w:hAnsiTheme="minorEastAsia" w:eastAsiaTheme="minorEastAsia"/>
          <w:lang w:bidi="ar"/>
        </w:rPr>
        <w:t>的子实体。</w:t>
      </w:r>
      <w:bookmarkEnd w:id="6"/>
    </w:p>
    <w:p w14:paraId="3431C480">
      <w:pPr>
        <w:spacing w:line="360" w:lineRule="auto"/>
        <w:rPr>
          <w:rFonts w:hint="eastAsia" w:ascii="黑体" w:hAnsi="黑体" w:eastAsia="黑体" w:cs="黑体"/>
          <w:spacing w:val="2"/>
        </w:rPr>
      </w:pPr>
      <w:r>
        <w:rPr>
          <w:rFonts w:hint="eastAsia" w:cs="宋体" w:asciiTheme="minorEastAsia" w:hAnsiTheme="minorEastAsia" w:eastAsiaTheme="minorEastAsia"/>
          <w:lang w:bidi="ar"/>
        </w:rPr>
        <w:t xml:space="preserve">3.2 </w:t>
      </w:r>
      <w:r>
        <w:rPr>
          <w:rFonts w:hint="eastAsia" w:ascii="黑体" w:hAnsi="黑体" w:eastAsia="黑体" w:cs="黑体"/>
          <w:spacing w:val="2"/>
        </w:rPr>
        <w:t>桑黄干制品</w:t>
      </w:r>
    </w:p>
    <w:p w14:paraId="744C2D47">
      <w:pPr>
        <w:spacing w:line="360" w:lineRule="auto"/>
        <w:ind w:firstLine="420" w:firstLineChars="200"/>
        <w:rPr>
          <w:rFonts w:hint="eastAsia" w:eastAsia="宋体" w:cs="宋体" w:asciiTheme="minorEastAsia" w:hAnsiTheme="minorEastAsia"/>
          <w:lang w:eastAsia="zh-CN" w:bidi="ar"/>
        </w:rPr>
      </w:pPr>
      <w:r>
        <w:rPr>
          <w:rFonts w:hint="eastAsia" w:cs="宋体" w:asciiTheme="minorEastAsia" w:hAnsiTheme="minorEastAsia" w:eastAsiaTheme="minorEastAsia"/>
          <w:lang w:val="en-US" w:eastAsia="zh-CN" w:bidi="ar"/>
        </w:rPr>
        <w:t>由</w:t>
      </w:r>
      <w:r>
        <w:rPr>
          <w:rFonts w:hint="eastAsia" w:cs="宋体" w:asciiTheme="minorEastAsia" w:hAnsiTheme="minorEastAsia" w:eastAsiaTheme="minorEastAsia"/>
          <w:lang w:bidi="ar"/>
        </w:rPr>
        <w:t>粗毛纤孔菌（</w:t>
      </w:r>
      <w:r>
        <w:rPr>
          <w:rFonts w:hint="eastAsia" w:cs="宋体" w:asciiTheme="minorEastAsia" w:hAnsiTheme="minorEastAsia" w:eastAsiaTheme="minorEastAsia"/>
          <w:i/>
          <w:iCs/>
          <w:lang w:bidi="ar"/>
        </w:rPr>
        <w:t>Inonotus hispidus</w:t>
      </w:r>
      <w:r>
        <w:rPr>
          <w:rFonts w:hint="eastAsia" w:cs="宋体" w:asciiTheme="minorEastAsia" w:hAnsiTheme="minorEastAsia" w:eastAsiaTheme="minorEastAsia"/>
          <w:lang w:bidi="ar"/>
        </w:rPr>
        <w:t>）的子实体经除杂、切片（或整体）、干制（阴干、晾干、晒干或烘干、低温干燥）、和（或）粉碎等</w:t>
      </w:r>
      <w:r>
        <w:rPr>
          <w:rFonts w:hint="eastAsia" w:ascii="宋体" w:hAnsi="宋体" w:eastAsia="宋体" w:cs="宋体"/>
        </w:rPr>
        <w:t>加工方式制成的干制品</w:t>
      </w:r>
      <w:r>
        <w:rPr>
          <w:rFonts w:hint="eastAsia" w:ascii="宋体" w:hAnsi="宋体" w:eastAsia="宋体" w:cs="宋体"/>
          <w:lang w:eastAsia="zh-CN"/>
        </w:rPr>
        <w:t>。</w:t>
      </w:r>
    </w:p>
    <w:bookmarkEnd w:id="5"/>
    <w:p w14:paraId="2971E146">
      <w:pPr>
        <w:spacing w:line="360" w:lineRule="auto"/>
        <w:outlineLvl w:val="0"/>
        <w:rPr>
          <w:rFonts w:hint="eastAsia" w:ascii="黑体" w:hAnsi="黑体" w:eastAsia="黑体" w:cs="黑体"/>
          <w:spacing w:val="2"/>
        </w:rPr>
      </w:pPr>
      <w:bookmarkStart w:id="7" w:name="_bookmark3"/>
      <w:bookmarkEnd w:id="7"/>
      <w:r>
        <w:rPr>
          <w:rFonts w:hint="eastAsia" w:ascii="黑体" w:hAnsi="黑体" w:eastAsia="黑体" w:cs="黑体"/>
          <w:spacing w:val="13"/>
        </w:rPr>
        <w:t>4</w:t>
      </w:r>
      <w:r>
        <w:rPr>
          <w:rFonts w:cs="黑体" w:asciiTheme="minorEastAsia" w:hAnsiTheme="minorEastAsia" w:eastAsiaTheme="minorEastAsia"/>
          <w:spacing w:val="7"/>
        </w:rPr>
        <w:t xml:space="preserve"> </w:t>
      </w:r>
      <w:r>
        <w:rPr>
          <w:rFonts w:hint="eastAsia" w:cs="黑体" w:asciiTheme="minorEastAsia" w:hAnsiTheme="minorEastAsia" w:eastAsiaTheme="minorEastAsia"/>
          <w:spacing w:val="7"/>
        </w:rPr>
        <w:t xml:space="preserve"> </w:t>
      </w:r>
      <w:r>
        <w:rPr>
          <w:rFonts w:hint="eastAsia" w:ascii="黑体" w:hAnsi="黑体" w:eastAsia="黑体" w:cs="黑体"/>
          <w:spacing w:val="2"/>
        </w:rPr>
        <w:t>技术要求</w:t>
      </w:r>
    </w:p>
    <w:p w14:paraId="10DC043D">
      <w:pPr>
        <w:spacing w:line="360" w:lineRule="auto"/>
        <w:outlineLvl w:val="0"/>
        <w:rPr>
          <w:rFonts w:hint="eastAsia" w:ascii="黑体" w:hAnsi="黑体" w:eastAsia="黑体" w:cs="黑体"/>
          <w:spacing w:val="2"/>
        </w:rPr>
      </w:pPr>
      <w:r>
        <w:rPr>
          <w:rFonts w:hint="eastAsia" w:ascii="黑体" w:hAnsi="黑体" w:eastAsia="黑体" w:cs="黑体"/>
          <w:spacing w:val="2"/>
        </w:rPr>
        <w:t>4.1 原料要求</w:t>
      </w:r>
    </w:p>
    <w:p w14:paraId="639B486A">
      <w:pPr>
        <w:spacing w:line="360" w:lineRule="auto"/>
        <w:rPr>
          <w:rFonts w:hint="eastAsia" w:cs="宋体" w:asciiTheme="minorEastAsia" w:hAnsiTheme="minorEastAsia" w:eastAsiaTheme="minorEastAsia"/>
          <w:lang w:bidi="ar"/>
        </w:rPr>
      </w:pPr>
      <w:r>
        <w:rPr>
          <w:rFonts w:hint="eastAsia" w:cs="宋体" w:asciiTheme="minorEastAsia" w:hAnsiTheme="minorEastAsia" w:eastAsiaTheme="minorEastAsia"/>
        </w:rPr>
        <w:t>4.1.1 桑黄鲜品</w:t>
      </w:r>
      <w:r>
        <w:rPr>
          <w:rFonts w:hint="eastAsia" w:cs="宋体" w:asciiTheme="minorEastAsia" w:hAnsiTheme="minorEastAsia" w:eastAsiaTheme="minorEastAsia"/>
          <w:lang w:bidi="ar"/>
        </w:rPr>
        <w:t>应外形完整、特征明显，</w:t>
      </w:r>
      <w:r>
        <w:rPr>
          <w:rFonts w:hint="eastAsia" w:ascii="宋体" w:hAnsi="宋体" w:eastAsia="宋体" w:cs="宋体"/>
        </w:rPr>
        <w:t>无腐烂、霉变和病虫害，</w:t>
      </w:r>
      <w:r>
        <w:rPr>
          <w:rFonts w:hint="eastAsia" w:cs="宋体" w:asciiTheme="minorEastAsia" w:hAnsiTheme="minorEastAsia" w:eastAsiaTheme="minorEastAsia"/>
          <w:lang w:bidi="ar"/>
        </w:rPr>
        <w:t>无污染。</w:t>
      </w:r>
    </w:p>
    <w:p w14:paraId="5735E372">
      <w:pPr>
        <w:spacing w:line="360" w:lineRule="auto"/>
        <w:rPr>
          <w:rFonts w:hint="eastAsia" w:cs="宋体" w:asciiTheme="minorEastAsia" w:hAnsiTheme="minorEastAsia" w:eastAsiaTheme="minorEastAsia"/>
        </w:rPr>
      </w:pPr>
      <w:r>
        <w:rPr>
          <w:rFonts w:hint="eastAsia" w:cs="宋体" w:asciiTheme="minorEastAsia" w:hAnsiTheme="minorEastAsia" w:eastAsiaTheme="minorEastAsia"/>
        </w:rPr>
        <w:t>4.1.2 生产加工用水应符合GB 5749的规定。</w:t>
      </w:r>
    </w:p>
    <w:p w14:paraId="49637D8E">
      <w:pPr>
        <w:spacing w:line="360" w:lineRule="auto"/>
        <w:outlineLvl w:val="0"/>
        <w:rPr>
          <w:rFonts w:hint="eastAsia" w:ascii="黑体" w:hAnsi="黑体" w:eastAsia="黑体" w:cs="黑体"/>
          <w:spacing w:val="2"/>
        </w:rPr>
      </w:pPr>
      <w:r>
        <w:rPr>
          <w:rFonts w:hint="eastAsia" w:ascii="黑体" w:hAnsi="黑体" w:eastAsia="黑体" w:cs="黑体"/>
          <w:spacing w:val="2"/>
        </w:rPr>
        <w:t>4.2 感官要求</w:t>
      </w:r>
    </w:p>
    <w:p w14:paraId="08D49512">
      <w:pPr>
        <w:spacing w:line="360" w:lineRule="auto"/>
        <w:ind w:firstLine="420" w:firstLineChars="200"/>
        <w:rPr>
          <w:rFonts w:hint="eastAsia" w:cs="宋体" w:asciiTheme="minorEastAsia" w:hAnsiTheme="minorEastAsia" w:eastAsiaTheme="minorEastAsia"/>
        </w:rPr>
      </w:pPr>
      <w:r>
        <w:rPr>
          <w:rFonts w:hint="eastAsia" w:cs="宋体" w:asciiTheme="minorEastAsia" w:hAnsiTheme="minorEastAsia" w:eastAsiaTheme="minorEastAsia"/>
        </w:rPr>
        <w:t>感官要求应符合表1要求。</w:t>
      </w:r>
    </w:p>
    <w:p w14:paraId="5E6776E7">
      <w:pPr>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表1 感官要求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5245"/>
        <w:gridCol w:w="3135"/>
      </w:tblGrid>
      <w:tr w14:paraId="0B97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24971EE">
            <w:pPr>
              <w:widowControl w:val="0"/>
              <w:spacing w:before="66" w:line="226"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项目</w:t>
            </w:r>
          </w:p>
        </w:tc>
        <w:tc>
          <w:tcPr>
            <w:tcW w:w="5245" w:type="dxa"/>
          </w:tcPr>
          <w:p w14:paraId="16A49486">
            <w:pPr>
              <w:widowControl w:val="0"/>
              <w:spacing w:before="66" w:line="226"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指标</w:t>
            </w:r>
          </w:p>
        </w:tc>
        <w:tc>
          <w:tcPr>
            <w:tcW w:w="3135" w:type="dxa"/>
          </w:tcPr>
          <w:p w14:paraId="42E2A315">
            <w:pPr>
              <w:widowControl w:val="0"/>
              <w:spacing w:before="66" w:line="226" w:lineRule="auto"/>
              <w:jc w:val="center"/>
              <w:rPr>
                <w:rFonts w:hint="eastAsia" w:cs="宋体" w:asciiTheme="minorEastAsia" w:hAnsiTheme="minorEastAsia" w:eastAsiaTheme="minorEastAsia"/>
              </w:rPr>
            </w:pPr>
            <w:r>
              <w:rPr>
                <w:rFonts w:hint="eastAsia" w:cs="宋体" w:asciiTheme="minorEastAsia" w:hAnsiTheme="minorEastAsia" w:eastAsiaTheme="minorEastAsia"/>
              </w:rPr>
              <w:t>检验方法</w:t>
            </w:r>
          </w:p>
        </w:tc>
      </w:tr>
      <w:tr w14:paraId="156B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530B2D3">
            <w:pPr>
              <w:widowControl/>
              <w:jc w:val="left"/>
              <w:rPr>
                <w:rFonts w:hint="eastAsia" w:cs="宋体" w:asciiTheme="minorEastAsia" w:hAnsiTheme="minorEastAsia" w:eastAsiaTheme="minorEastAsia"/>
              </w:rPr>
            </w:pPr>
            <w:r>
              <w:rPr>
                <w:rFonts w:hint="eastAsia" w:cs="宋体" w:asciiTheme="minorEastAsia" w:hAnsiTheme="minorEastAsia" w:eastAsiaTheme="minorEastAsia"/>
              </w:rPr>
              <w:t>组织形态</w:t>
            </w:r>
          </w:p>
        </w:tc>
        <w:tc>
          <w:tcPr>
            <w:tcW w:w="5245" w:type="dxa"/>
            <w:vAlign w:val="center"/>
          </w:tcPr>
          <w:p w14:paraId="7849166D">
            <w:pPr>
              <w:widowControl/>
              <w:jc w:val="left"/>
              <w:rPr>
                <w:rFonts w:hint="eastAsia" w:cs="宋体" w:asciiTheme="minorEastAsia" w:hAnsiTheme="minorEastAsia" w:eastAsiaTheme="minorEastAsia"/>
              </w:rPr>
            </w:pPr>
            <w:r>
              <w:rPr>
                <w:rFonts w:hint="eastAsia" w:cs="宋体" w:asciiTheme="minorEastAsia" w:hAnsiTheme="minorEastAsia"/>
              </w:rPr>
              <w:t>本品完整者呈扇形、半圆形、马蹄形等；外表面黄棕色、棕褐色至黑色，被粗毛。切面不光滑，自上而下有绒毛层、菌肉层、菌管层；菌管多层纵向排列，呈黄褐色至黄棕色，菌肉呈深棕色，较菌管层和绒毛层颜色深；本品应清洁、无腐烂、霉变和病虫害</w:t>
            </w:r>
            <w:r>
              <w:rPr>
                <w:rFonts w:hint="eastAsia" w:ascii="宋体" w:hAnsi="宋体" w:eastAsia="宋体" w:cs="宋体"/>
              </w:rPr>
              <w:t>。</w:t>
            </w:r>
          </w:p>
        </w:tc>
        <w:tc>
          <w:tcPr>
            <w:tcW w:w="3135" w:type="dxa"/>
            <w:vMerge w:val="restart"/>
            <w:vAlign w:val="center"/>
          </w:tcPr>
          <w:p w14:paraId="26EE4245">
            <w:pPr>
              <w:widowControl/>
              <w:jc w:val="both"/>
              <w:rPr>
                <w:rFonts w:hint="eastAsia" w:cs="宋体" w:asciiTheme="minorEastAsia" w:hAnsiTheme="minorEastAsia" w:eastAsiaTheme="minorEastAsia"/>
              </w:rPr>
            </w:pPr>
            <w:r>
              <w:rPr>
                <w:rFonts w:hint="eastAsia" w:cs="宋体" w:asciiTheme="minorEastAsia" w:hAnsiTheme="minorEastAsia" w:eastAsiaTheme="minorEastAsia"/>
              </w:rPr>
              <w:t>取适量试样置于洁净白色的瓷盘中，在自然光下观察色泽、形态和杂质，闻其气味、品其滋味。</w:t>
            </w:r>
          </w:p>
          <w:p w14:paraId="1D710F7C">
            <w:pPr>
              <w:widowControl/>
              <w:jc w:val="both"/>
              <w:rPr>
                <w:rFonts w:hint="eastAsia" w:cs="宋体" w:asciiTheme="minorEastAsia" w:hAnsiTheme="minorEastAsia" w:eastAsiaTheme="minorEastAsia"/>
              </w:rPr>
            </w:pPr>
          </w:p>
        </w:tc>
      </w:tr>
      <w:tr w14:paraId="4A1F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2C9210C">
            <w:pPr>
              <w:widowControl/>
              <w:jc w:val="left"/>
              <w:rPr>
                <w:rFonts w:hint="eastAsia" w:cs="宋体" w:asciiTheme="minorEastAsia" w:hAnsiTheme="minorEastAsia" w:eastAsiaTheme="minorEastAsia"/>
              </w:rPr>
            </w:pPr>
            <w:r>
              <w:rPr>
                <w:rFonts w:hint="eastAsia" w:cs="宋体" w:asciiTheme="minorEastAsia" w:hAnsiTheme="minorEastAsia" w:eastAsiaTheme="minorEastAsia"/>
              </w:rPr>
              <w:t>滋、气味</w:t>
            </w:r>
          </w:p>
        </w:tc>
        <w:tc>
          <w:tcPr>
            <w:tcW w:w="5245" w:type="dxa"/>
            <w:vAlign w:val="center"/>
          </w:tcPr>
          <w:p w14:paraId="5905A7EB">
            <w:pPr>
              <w:widowControl/>
              <w:jc w:val="left"/>
              <w:rPr>
                <w:rFonts w:hint="eastAsia" w:cs="宋体" w:asciiTheme="minorEastAsia" w:hAnsiTheme="minorEastAsia" w:eastAsiaTheme="minorEastAsia"/>
              </w:rPr>
            </w:pPr>
            <w:r>
              <w:rPr>
                <w:rFonts w:hint="eastAsia" w:cs="宋体" w:asciiTheme="minorEastAsia" w:hAnsiTheme="minorEastAsia"/>
              </w:rPr>
              <w:t>具有桑黄特有蘑菇香气；气微，味微苦；不得有其它异味</w:t>
            </w:r>
            <w:r>
              <w:rPr>
                <w:rFonts w:hint="eastAsia" w:ascii="宋体" w:hAnsi="宋体" w:eastAsia="宋体" w:cs="宋体"/>
              </w:rPr>
              <w:t>。</w:t>
            </w:r>
          </w:p>
        </w:tc>
        <w:tc>
          <w:tcPr>
            <w:tcW w:w="3135" w:type="dxa"/>
            <w:vMerge w:val="continue"/>
          </w:tcPr>
          <w:p w14:paraId="4907C50D">
            <w:pPr>
              <w:widowControl/>
              <w:jc w:val="left"/>
              <w:rPr>
                <w:rFonts w:hint="eastAsia" w:cs="宋体" w:asciiTheme="minorEastAsia" w:hAnsiTheme="minorEastAsia" w:eastAsiaTheme="minorEastAsia"/>
              </w:rPr>
            </w:pPr>
          </w:p>
        </w:tc>
      </w:tr>
      <w:tr w14:paraId="2993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19A005F">
            <w:pPr>
              <w:widowControl/>
              <w:jc w:val="left"/>
              <w:rPr>
                <w:rFonts w:hint="eastAsia" w:cs="宋体" w:asciiTheme="minorEastAsia" w:hAnsiTheme="minorEastAsia" w:eastAsiaTheme="minorEastAsia"/>
              </w:rPr>
            </w:pPr>
            <w:r>
              <w:rPr>
                <w:rFonts w:hint="eastAsia" w:cs="宋体" w:asciiTheme="minorEastAsia" w:hAnsiTheme="minorEastAsia" w:eastAsiaTheme="minorEastAsia"/>
              </w:rPr>
              <w:t>杂质</w:t>
            </w:r>
          </w:p>
        </w:tc>
        <w:tc>
          <w:tcPr>
            <w:tcW w:w="5245" w:type="dxa"/>
            <w:vAlign w:val="center"/>
          </w:tcPr>
          <w:p w14:paraId="7C0D1094">
            <w:pPr>
              <w:widowControl/>
              <w:jc w:val="left"/>
              <w:rPr>
                <w:rFonts w:hint="eastAsia" w:cs="宋体" w:asciiTheme="minorEastAsia" w:hAnsiTheme="minorEastAsia" w:eastAsiaTheme="minorEastAsia"/>
              </w:rPr>
            </w:pPr>
            <w:r>
              <w:rPr>
                <w:rFonts w:hint="eastAsia" w:cs="宋体" w:asciiTheme="minorEastAsia" w:hAnsiTheme="minorEastAsia" w:eastAsiaTheme="minorEastAsia"/>
              </w:rPr>
              <w:t>不得有肉眼可见外来杂质。</w:t>
            </w:r>
          </w:p>
        </w:tc>
        <w:tc>
          <w:tcPr>
            <w:tcW w:w="3135" w:type="dxa"/>
            <w:vMerge w:val="continue"/>
          </w:tcPr>
          <w:p w14:paraId="1C41F654">
            <w:pPr>
              <w:widowControl/>
              <w:jc w:val="left"/>
              <w:rPr>
                <w:rFonts w:hint="eastAsia" w:cs="宋体" w:asciiTheme="minorEastAsia" w:hAnsiTheme="minorEastAsia" w:eastAsiaTheme="minorEastAsia"/>
              </w:rPr>
            </w:pPr>
          </w:p>
        </w:tc>
      </w:tr>
    </w:tbl>
    <w:p w14:paraId="2221BB9E">
      <w:pPr>
        <w:spacing w:line="360" w:lineRule="auto"/>
        <w:outlineLvl w:val="0"/>
        <w:rPr>
          <w:rFonts w:hint="eastAsia" w:ascii="黑体" w:hAnsi="黑体" w:eastAsia="黑体" w:cs="黑体"/>
          <w:spacing w:val="2"/>
        </w:rPr>
      </w:pPr>
    </w:p>
    <w:p w14:paraId="032766A8">
      <w:pPr>
        <w:spacing w:line="360" w:lineRule="auto"/>
        <w:outlineLvl w:val="0"/>
        <w:rPr>
          <w:rFonts w:hint="eastAsia" w:ascii="黑体" w:hAnsi="黑体" w:eastAsia="黑体" w:cs="黑体"/>
          <w:spacing w:val="2"/>
        </w:rPr>
      </w:pPr>
      <w:r>
        <w:rPr>
          <w:rFonts w:hint="eastAsia" w:ascii="黑体" w:hAnsi="黑体" w:eastAsia="黑体" w:cs="黑体"/>
          <w:spacing w:val="2"/>
        </w:rPr>
        <w:t>4.3 理化指标</w:t>
      </w:r>
    </w:p>
    <w:p w14:paraId="1999EEBC">
      <w:pPr>
        <w:spacing w:line="360" w:lineRule="auto"/>
        <w:ind w:firstLine="420" w:firstLineChars="200"/>
        <w:outlineLvl w:val="0"/>
        <w:rPr>
          <w:rFonts w:hint="eastAsia" w:cs="宋体" w:asciiTheme="minorEastAsia" w:hAnsiTheme="minorEastAsia" w:eastAsiaTheme="minorEastAsia"/>
        </w:rPr>
      </w:pPr>
      <w:r>
        <w:rPr>
          <w:rFonts w:hint="eastAsia" w:cs="宋体" w:asciiTheme="minorEastAsia" w:hAnsiTheme="minorEastAsia" w:eastAsiaTheme="minorEastAsia"/>
        </w:rPr>
        <w:t>理化指标应符合表2的规定。</w:t>
      </w:r>
    </w:p>
    <w:p w14:paraId="41686283">
      <w:pPr>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表2 理化指标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3648"/>
        <w:gridCol w:w="3208"/>
      </w:tblGrid>
      <w:tr w14:paraId="0818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vAlign w:val="center"/>
          </w:tcPr>
          <w:p w14:paraId="5C981F9E">
            <w:pPr>
              <w:widowControl w:val="0"/>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项目</w:t>
            </w:r>
          </w:p>
        </w:tc>
        <w:tc>
          <w:tcPr>
            <w:tcW w:w="3648" w:type="dxa"/>
            <w:vAlign w:val="center"/>
          </w:tcPr>
          <w:p w14:paraId="5301DD0B">
            <w:pPr>
              <w:widowControl w:val="0"/>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指标</w:t>
            </w:r>
          </w:p>
        </w:tc>
        <w:tc>
          <w:tcPr>
            <w:tcW w:w="3208" w:type="dxa"/>
            <w:vAlign w:val="center"/>
          </w:tcPr>
          <w:p w14:paraId="0989D760">
            <w:pPr>
              <w:widowControl w:val="0"/>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165A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vAlign w:val="center"/>
          </w:tcPr>
          <w:p w14:paraId="234F79B0">
            <w:pPr>
              <w:widowControl w:val="0"/>
              <w:spacing w:before="66" w:line="226" w:lineRule="auto"/>
              <w:jc w:val="center"/>
              <w:rPr>
                <w:sz w:val="18"/>
                <w:szCs w:val="18"/>
              </w:rPr>
            </w:pPr>
            <w:r>
              <w:rPr>
                <w:sz w:val="18"/>
                <w:szCs w:val="18"/>
              </w:rPr>
              <w:t>水分，g/100 g</w:t>
            </w:r>
            <w:r>
              <w:rPr>
                <w:rFonts w:hint="eastAsia" w:eastAsia="宋体"/>
                <w:sz w:val="18"/>
                <w:szCs w:val="18"/>
              </w:rPr>
              <w:t xml:space="preserve">       </w:t>
            </w:r>
            <w:r>
              <w:rPr>
                <w:rFonts w:hint="eastAsia"/>
                <w:sz w:val="18"/>
                <w:szCs w:val="18"/>
              </w:rPr>
              <w:t xml:space="preserve">       </w:t>
            </w:r>
            <w:r>
              <w:rPr>
                <w:rFonts w:ascii="宋体" w:hAnsi="宋体"/>
                <w:sz w:val="18"/>
                <w:szCs w:val="18"/>
              </w:rPr>
              <w:t>≤</w:t>
            </w:r>
          </w:p>
        </w:tc>
        <w:tc>
          <w:tcPr>
            <w:tcW w:w="3648" w:type="dxa"/>
            <w:vAlign w:val="center"/>
          </w:tcPr>
          <w:p w14:paraId="3AFC1F1E">
            <w:pPr>
              <w:widowControl w:val="0"/>
              <w:spacing w:before="66" w:line="226" w:lineRule="auto"/>
              <w:jc w:val="center"/>
              <w:rPr>
                <w:sz w:val="18"/>
                <w:szCs w:val="18"/>
              </w:rPr>
            </w:pPr>
            <w:r>
              <w:rPr>
                <w:rFonts w:hint="eastAsia"/>
                <w:sz w:val="18"/>
                <w:szCs w:val="18"/>
              </w:rPr>
              <w:t>1</w:t>
            </w:r>
            <w:r>
              <w:rPr>
                <w:rFonts w:hint="eastAsia" w:eastAsiaTheme="minorEastAsia"/>
                <w:sz w:val="18"/>
                <w:szCs w:val="18"/>
              </w:rPr>
              <w:t>2</w:t>
            </w:r>
            <w:r>
              <w:rPr>
                <w:rFonts w:hint="eastAsia"/>
                <w:sz w:val="18"/>
                <w:szCs w:val="18"/>
              </w:rPr>
              <w:t>.0</w:t>
            </w:r>
          </w:p>
        </w:tc>
        <w:tc>
          <w:tcPr>
            <w:tcW w:w="3208" w:type="dxa"/>
            <w:vAlign w:val="center"/>
          </w:tcPr>
          <w:p w14:paraId="754294FE">
            <w:pPr>
              <w:widowControl w:val="0"/>
              <w:spacing w:before="66" w:line="226" w:lineRule="auto"/>
              <w:jc w:val="center"/>
              <w:rPr>
                <w:rFonts w:hint="eastAsia" w:ascii="宋体" w:hAnsi="宋体" w:eastAsia="宋体" w:cs="宋体"/>
                <w:sz w:val="20"/>
                <w:szCs w:val="20"/>
              </w:rPr>
            </w:pPr>
            <w:r>
              <w:rPr>
                <w:sz w:val="18"/>
                <w:szCs w:val="18"/>
              </w:rPr>
              <w:t>GB 5009.3</w:t>
            </w:r>
          </w:p>
        </w:tc>
      </w:tr>
      <w:tr w14:paraId="39E7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vAlign w:val="center"/>
          </w:tcPr>
          <w:p w14:paraId="325D231C">
            <w:pPr>
              <w:widowControl w:val="0"/>
              <w:spacing w:before="66" w:line="226" w:lineRule="auto"/>
              <w:jc w:val="center"/>
              <w:rPr>
                <w:rFonts w:hint="eastAsia" w:ascii="宋体" w:hAnsi="宋体" w:eastAsia="微软雅黑" w:cs="宋体"/>
                <w:sz w:val="20"/>
                <w:szCs w:val="20"/>
              </w:rPr>
            </w:pPr>
            <w:r>
              <w:rPr>
                <w:rFonts w:hint="eastAsia"/>
                <w:sz w:val="18"/>
                <w:szCs w:val="18"/>
              </w:rPr>
              <w:t>总灰分</w:t>
            </w:r>
            <w:r>
              <w:rPr>
                <w:sz w:val="18"/>
                <w:szCs w:val="18"/>
              </w:rPr>
              <w:t>，g/100 g</w:t>
            </w:r>
            <w:r>
              <w:rPr>
                <w:rFonts w:hint="eastAsia" w:eastAsia="宋体"/>
                <w:sz w:val="18"/>
                <w:szCs w:val="18"/>
              </w:rPr>
              <w:t xml:space="preserve">           </w:t>
            </w:r>
            <w:r>
              <w:rPr>
                <w:rFonts w:ascii="宋体" w:hAnsi="宋体"/>
                <w:sz w:val="18"/>
                <w:szCs w:val="18"/>
              </w:rPr>
              <w:t>≤</w:t>
            </w:r>
          </w:p>
        </w:tc>
        <w:tc>
          <w:tcPr>
            <w:tcW w:w="3648" w:type="dxa"/>
            <w:vAlign w:val="center"/>
          </w:tcPr>
          <w:p w14:paraId="3A18BC0B">
            <w:pPr>
              <w:widowControl w:val="0"/>
              <w:spacing w:before="66" w:line="226" w:lineRule="auto"/>
              <w:jc w:val="center"/>
              <w:rPr>
                <w:rFonts w:hint="eastAsia" w:ascii="宋体" w:hAnsi="宋体" w:eastAsia="宋体" w:cs="宋体"/>
                <w:sz w:val="20"/>
                <w:szCs w:val="20"/>
              </w:rPr>
            </w:pPr>
            <w:r>
              <w:rPr>
                <w:rFonts w:hint="eastAsia" w:eastAsiaTheme="minorEastAsia"/>
                <w:sz w:val="18"/>
                <w:szCs w:val="18"/>
              </w:rPr>
              <w:t>10</w:t>
            </w:r>
            <w:r>
              <w:rPr>
                <w:rFonts w:hint="eastAsia"/>
                <w:sz w:val="18"/>
                <w:szCs w:val="18"/>
              </w:rPr>
              <w:t>.0</w:t>
            </w:r>
          </w:p>
        </w:tc>
        <w:tc>
          <w:tcPr>
            <w:tcW w:w="3208" w:type="dxa"/>
            <w:vAlign w:val="center"/>
          </w:tcPr>
          <w:p w14:paraId="61F2C7CA">
            <w:pPr>
              <w:widowControl w:val="0"/>
              <w:spacing w:before="66" w:line="226" w:lineRule="auto"/>
              <w:jc w:val="center"/>
              <w:rPr>
                <w:rFonts w:hint="eastAsia" w:ascii="宋体" w:hAnsi="宋体" w:eastAsia="宋体" w:cs="宋体"/>
                <w:sz w:val="20"/>
                <w:szCs w:val="20"/>
              </w:rPr>
            </w:pPr>
            <w:r>
              <w:rPr>
                <w:sz w:val="18"/>
                <w:szCs w:val="18"/>
              </w:rPr>
              <w:t>GB 5009.</w:t>
            </w:r>
            <w:r>
              <w:rPr>
                <w:rFonts w:hint="eastAsia" w:eastAsia="宋体"/>
                <w:sz w:val="18"/>
                <w:szCs w:val="18"/>
              </w:rPr>
              <w:t>4 第一法</w:t>
            </w:r>
          </w:p>
        </w:tc>
      </w:tr>
      <w:tr w14:paraId="74BB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vAlign w:val="center"/>
          </w:tcPr>
          <w:p w14:paraId="7DC33FCC">
            <w:pPr>
              <w:widowControl w:val="0"/>
              <w:spacing w:before="66" w:line="226" w:lineRule="auto"/>
              <w:ind w:left="200" w:hanging="200" w:hangingChars="100"/>
              <w:jc w:val="center"/>
              <w:rPr>
                <w:rFonts w:hint="eastAsia" w:ascii="宋体" w:hAnsi="宋体" w:eastAsia="宋体" w:cs="宋体"/>
                <w:sz w:val="20"/>
                <w:szCs w:val="20"/>
              </w:rPr>
            </w:pPr>
            <w:r>
              <w:rPr>
                <w:rFonts w:hint="eastAsia" w:ascii="宋体" w:hAnsi="宋体" w:eastAsia="宋体" w:cs="宋体"/>
                <w:sz w:val="20"/>
                <w:szCs w:val="20"/>
              </w:rPr>
              <w:t>粗多糖，</w:t>
            </w:r>
            <w:r>
              <w:rPr>
                <w:sz w:val="18"/>
                <w:szCs w:val="18"/>
              </w:rPr>
              <w:t>g/100 g</w:t>
            </w:r>
            <w:r>
              <w:rPr>
                <w:rFonts w:hint="eastAsia" w:eastAsia="宋体"/>
                <w:sz w:val="18"/>
                <w:szCs w:val="18"/>
              </w:rPr>
              <w:t xml:space="preserve">         </w:t>
            </w:r>
            <w:r>
              <w:rPr>
                <w:rFonts w:ascii="宋体" w:hAnsi="宋体"/>
                <w:sz w:val="18"/>
                <w:szCs w:val="18"/>
              </w:rPr>
              <w:t>≥</w:t>
            </w:r>
          </w:p>
        </w:tc>
        <w:tc>
          <w:tcPr>
            <w:tcW w:w="3648" w:type="dxa"/>
            <w:vAlign w:val="center"/>
          </w:tcPr>
          <w:p w14:paraId="46737BD5">
            <w:pPr>
              <w:widowControl w:val="0"/>
              <w:spacing w:before="66" w:line="226" w:lineRule="auto"/>
              <w:jc w:val="center"/>
              <w:rPr>
                <w:rFonts w:hint="eastAsia" w:ascii="宋体" w:hAnsi="宋体" w:cs="宋体" w:eastAsiaTheme="minorEastAsia"/>
                <w:sz w:val="20"/>
                <w:szCs w:val="20"/>
              </w:rPr>
            </w:pPr>
            <w:r>
              <w:rPr>
                <w:rFonts w:hint="eastAsia" w:eastAsiaTheme="minorEastAsia"/>
                <w:sz w:val="18"/>
                <w:szCs w:val="18"/>
              </w:rPr>
              <w:t>0.7</w:t>
            </w:r>
          </w:p>
        </w:tc>
        <w:tc>
          <w:tcPr>
            <w:tcW w:w="3208" w:type="dxa"/>
            <w:vAlign w:val="center"/>
          </w:tcPr>
          <w:p w14:paraId="576264A2">
            <w:pPr>
              <w:widowControl/>
              <w:jc w:val="center"/>
              <w:rPr>
                <w:rFonts w:hint="eastAsia" w:ascii="宋体" w:hAnsi="宋体" w:eastAsia="宋体" w:cs="宋体"/>
                <w:sz w:val="20"/>
                <w:szCs w:val="20"/>
              </w:rPr>
            </w:pPr>
            <w:r>
              <w:rPr>
                <w:sz w:val="18"/>
                <w:szCs w:val="18"/>
              </w:rPr>
              <w:t>NY/T 1676</w:t>
            </w:r>
          </w:p>
        </w:tc>
      </w:tr>
      <w:tr w14:paraId="621A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vAlign w:val="center"/>
          </w:tcPr>
          <w:p w14:paraId="56811B95">
            <w:pPr>
              <w:widowControl w:val="0"/>
              <w:spacing w:before="66" w:line="226" w:lineRule="auto"/>
              <w:ind w:left="210" w:leftChars="100"/>
              <w:jc w:val="left"/>
              <w:rPr>
                <w:rFonts w:hint="eastAsia" w:ascii="宋体" w:hAnsi="宋体" w:eastAsia="宋体" w:cs="宋体"/>
                <w:sz w:val="20"/>
                <w:szCs w:val="20"/>
              </w:rPr>
            </w:pPr>
            <w:r>
              <w:rPr>
                <w:rFonts w:hint="eastAsia" w:ascii="宋体" w:hAnsi="宋体" w:eastAsia="宋体" w:cs="宋体"/>
                <w:sz w:val="20"/>
                <w:szCs w:val="20"/>
              </w:rPr>
              <w:t>总黄酮，</w:t>
            </w:r>
            <w:r>
              <w:rPr>
                <w:sz w:val="18"/>
                <w:szCs w:val="18"/>
              </w:rPr>
              <w:t>g/100 g</w:t>
            </w:r>
            <w:r>
              <w:rPr>
                <w:rFonts w:hint="eastAsia" w:eastAsia="宋体"/>
                <w:sz w:val="18"/>
                <w:szCs w:val="18"/>
              </w:rPr>
              <w:t xml:space="preserve">         </w:t>
            </w:r>
            <w:r>
              <w:rPr>
                <w:rFonts w:ascii="宋体" w:hAnsi="宋体"/>
                <w:sz w:val="18"/>
                <w:szCs w:val="18"/>
              </w:rPr>
              <w:t>≥</w:t>
            </w:r>
          </w:p>
        </w:tc>
        <w:tc>
          <w:tcPr>
            <w:tcW w:w="3648" w:type="dxa"/>
            <w:vAlign w:val="center"/>
          </w:tcPr>
          <w:p w14:paraId="320C1698">
            <w:pPr>
              <w:widowControl w:val="0"/>
              <w:spacing w:before="66" w:line="226" w:lineRule="auto"/>
              <w:jc w:val="center"/>
              <w:rPr>
                <w:rFonts w:eastAsiaTheme="minorEastAsia"/>
                <w:sz w:val="18"/>
                <w:szCs w:val="18"/>
              </w:rPr>
            </w:pPr>
            <w:r>
              <w:rPr>
                <w:rFonts w:hint="eastAsia" w:eastAsiaTheme="minorEastAsia"/>
                <w:sz w:val="18"/>
                <w:szCs w:val="18"/>
              </w:rPr>
              <w:t>2.0</w:t>
            </w:r>
          </w:p>
        </w:tc>
        <w:tc>
          <w:tcPr>
            <w:tcW w:w="3208" w:type="dxa"/>
            <w:vAlign w:val="center"/>
          </w:tcPr>
          <w:p w14:paraId="14CB9B8A">
            <w:pPr>
              <w:widowControl w:val="0"/>
              <w:kinsoku/>
              <w:autoSpaceDE/>
              <w:autoSpaceDN/>
              <w:adjustRightInd/>
              <w:snapToGrid/>
              <w:jc w:val="both"/>
              <w:textAlignment w:val="auto"/>
              <w:rPr>
                <w:rFonts w:hint="eastAsia" w:ascii="宋体" w:hAnsi="宋体" w:eastAsia="宋体" w:cs="宋体"/>
                <w:sz w:val="20"/>
                <w:szCs w:val="20"/>
              </w:rPr>
            </w:pPr>
            <w:r>
              <w:rPr>
                <w:rFonts w:ascii="宋体" w:hAnsi="宋体" w:eastAsia="宋体" w:cs="宋体"/>
                <w:sz w:val="18"/>
                <w:szCs w:val="18"/>
              </w:rPr>
              <w:t>保健食品理化及卫生指标检验与评价技术指导原则（2020年版）</w:t>
            </w:r>
          </w:p>
        </w:tc>
      </w:tr>
      <w:tr w14:paraId="4718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vAlign w:val="center"/>
          </w:tcPr>
          <w:p w14:paraId="366611CA">
            <w:pPr>
              <w:widowControl w:val="0"/>
              <w:spacing w:before="66" w:line="226" w:lineRule="auto"/>
              <w:ind w:left="210" w:leftChars="100"/>
              <w:jc w:val="both"/>
              <w:rPr>
                <w:rFonts w:hint="eastAsia" w:ascii="宋体" w:hAnsi="宋体" w:eastAsia="宋体" w:cs="宋体"/>
                <w:sz w:val="20"/>
                <w:szCs w:val="20"/>
              </w:rPr>
            </w:pPr>
            <w:r>
              <w:rPr>
                <w:rFonts w:hint="eastAsia" w:ascii="宋体" w:hAnsi="宋体" w:eastAsia="宋体" w:cs="宋体"/>
                <w:sz w:val="20"/>
                <w:szCs w:val="20"/>
              </w:rPr>
              <w:t>总三萜，</w:t>
            </w:r>
            <w:r>
              <w:rPr>
                <w:sz w:val="18"/>
                <w:szCs w:val="18"/>
              </w:rPr>
              <w:t>g/100 g</w:t>
            </w:r>
            <w:r>
              <w:rPr>
                <w:rFonts w:hint="eastAsia" w:eastAsia="宋体"/>
                <w:sz w:val="18"/>
                <w:szCs w:val="18"/>
              </w:rPr>
              <w:t xml:space="preserve">         </w:t>
            </w:r>
            <w:r>
              <w:rPr>
                <w:rFonts w:ascii="宋体" w:hAnsi="宋体"/>
                <w:sz w:val="18"/>
                <w:szCs w:val="18"/>
              </w:rPr>
              <w:t>≥</w:t>
            </w:r>
          </w:p>
        </w:tc>
        <w:tc>
          <w:tcPr>
            <w:tcW w:w="3648" w:type="dxa"/>
            <w:vAlign w:val="center"/>
          </w:tcPr>
          <w:p w14:paraId="04C5555E">
            <w:pPr>
              <w:widowControl w:val="0"/>
              <w:spacing w:before="66" w:line="226" w:lineRule="auto"/>
              <w:jc w:val="center"/>
              <w:rPr>
                <w:rFonts w:eastAsiaTheme="minorEastAsia"/>
                <w:sz w:val="18"/>
                <w:szCs w:val="18"/>
              </w:rPr>
            </w:pPr>
            <w:r>
              <w:rPr>
                <w:rFonts w:hint="eastAsia" w:eastAsiaTheme="minorEastAsia"/>
                <w:sz w:val="18"/>
                <w:szCs w:val="18"/>
              </w:rPr>
              <w:t>0.8</w:t>
            </w:r>
          </w:p>
        </w:tc>
        <w:tc>
          <w:tcPr>
            <w:tcW w:w="3208" w:type="dxa"/>
            <w:vAlign w:val="center"/>
          </w:tcPr>
          <w:p w14:paraId="2168A89A">
            <w:pPr>
              <w:widowControl w:val="0"/>
              <w:jc w:val="left"/>
              <w:rPr>
                <w:rFonts w:hint="eastAsia" w:ascii="宋体" w:hAnsi="宋体" w:eastAsia="宋体" w:cs="宋体"/>
                <w:sz w:val="18"/>
                <w:szCs w:val="18"/>
                <w:lang w:bidi="ar"/>
              </w:rPr>
            </w:pPr>
            <w:r>
              <w:rPr>
                <w:rFonts w:hint="eastAsia" w:ascii="宋体" w:hAnsi="宋体" w:eastAsia="宋体" w:cs="宋体"/>
                <w:sz w:val="18"/>
                <w:szCs w:val="18"/>
              </w:rPr>
              <w:t>保健食品理化及卫生指标检验与评价技术指导原则</w:t>
            </w:r>
            <w:r>
              <w:rPr>
                <w:rFonts w:ascii="宋体" w:hAnsi="宋体" w:eastAsia="宋体" w:cs="宋体"/>
                <w:sz w:val="18"/>
                <w:szCs w:val="18"/>
              </w:rPr>
              <w:t>（2020年版）</w:t>
            </w:r>
          </w:p>
        </w:tc>
      </w:tr>
    </w:tbl>
    <w:p w14:paraId="22ED7974">
      <w:pPr>
        <w:spacing w:before="66" w:line="226" w:lineRule="auto"/>
        <w:rPr>
          <w:rFonts w:hint="eastAsia" w:ascii="宋体" w:hAnsi="宋体" w:eastAsia="宋体" w:cs="宋体"/>
          <w:sz w:val="20"/>
          <w:szCs w:val="20"/>
        </w:rPr>
      </w:pPr>
    </w:p>
    <w:p w14:paraId="0B591B41">
      <w:pPr>
        <w:spacing w:line="360" w:lineRule="auto"/>
        <w:outlineLvl w:val="0"/>
        <w:rPr>
          <w:rFonts w:hint="eastAsia" w:ascii="黑体" w:hAnsi="黑体" w:eastAsia="黑体" w:cs="黑体"/>
          <w:spacing w:val="2"/>
        </w:rPr>
      </w:pPr>
      <w:r>
        <w:rPr>
          <w:rFonts w:hint="eastAsia" w:ascii="黑体" w:hAnsi="黑体" w:eastAsia="黑体" w:cs="黑体"/>
          <w:spacing w:val="2"/>
        </w:rPr>
        <w:t>4.4 污染物限量</w:t>
      </w:r>
    </w:p>
    <w:p w14:paraId="7477445B">
      <w:pPr>
        <w:pStyle w:val="16"/>
        <w:tabs>
          <w:tab w:val="center" w:pos="4201"/>
          <w:tab w:val="right" w:leader="dot" w:pos="9298"/>
        </w:tabs>
        <w:spacing w:line="360" w:lineRule="auto"/>
        <w:ind w:firstLine="420"/>
        <w:rPr>
          <w:rFonts w:hint="eastAsia" w:asciiTheme="minorEastAsia" w:hAnsiTheme="minorEastAsia" w:eastAsiaTheme="minorEastAsia"/>
          <w:szCs w:val="21"/>
        </w:rPr>
      </w:pPr>
      <w:r>
        <w:rPr>
          <w:rFonts w:hint="eastAsia" w:cs="宋体" w:asciiTheme="minorEastAsia" w:hAnsiTheme="minorEastAsia" w:eastAsiaTheme="minorEastAsia"/>
          <w:snapToGrid w:val="0"/>
          <w:color w:val="000000"/>
          <w:szCs w:val="21"/>
        </w:rPr>
        <w:t>污染物限量应符合表3的规定。</w:t>
      </w:r>
    </w:p>
    <w:p w14:paraId="1E865CA8">
      <w:pPr>
        <w:pStyle w:val="27"/>
        <w:numPr>
          <w:ilvl w:val="0"/>
          <w:numId w:val="0"/>
        </w:numPr>
        <w:spacing w:before="120" w:after="120"/>
        <w:rPr>
          <w:rFonts w:hint="eastAsia" w:ascii="宋体" w:hAnsi="宋体" w:eastAsia="宋体" w:cs="宋体"/>
          <w:snapToGrid w:val="0"/>
          <w:color w:val="000000"/>
          <w:sz w:val="20"/>
        </w:rPr>
      </w:pPr>
      <w:r>
        <w:rPr>
          <w:rFonts w:hint="eastAsia" w:ascii="宋体" w:hAnsi="宋体" w:eastAsia="宋体" w:cs="宋体"/>
          <w:snapToGrid w:val="0"/>
          <w:color w:val="000000"/>
          <w:sz w:val="20"/>
        </w:rPr>
        <w:t>表3 污染物限量</w:t>
      </w:r>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14:paraId="4B866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8" w:space="0"/>
              <w:bottom w:val="single" w:color="auto" w:sz="8" w:space="0"/>
            </w:tcBorders>
          </w:tcPr>
          <w:p w14:paraId="239D6DC7">
            <w:pPr>
              <w:jc w:val="center"/>
              <w:rPr>
                <w:sz w:val="18"/>
                <w:szCs w:val="18"/>
              </w:rPr>
            </w:pPr>
            <w:r>
              <w:rPr>
                <w:rFonts w:hAnsi="宋体"/>
                <w:sz w:val="18"/>
                <w:szCs w:val="18"/>
              </w:rPr>
              <w:t>项</w:t>
            </w:r>
            <w:r>
              <w:rPr>
                <w:sz w:val="18"/>
                <w:szCs w:val="18"/>
              </w:rPr>
              <w:t xml:space="preserve">  </w:t>
            </w:r>
            <w:r>
              <w:rPr>
                <w:rFonts w:hAnsi="宋体"/>
                <w:sz w:val="18"/>
                <w:szCs w:val="18"/>
              </w:rPr>
              <w:t>目</w:t>
            </w:r>
          </w:p>
        </w:tc>
        <w:tc>
          <w:tcPr>
            <w:tcW w:w="3190" w:type="dxa"/>
            <w:tcBorders>
              <w:top w:val="single" w:color="auto" w:sz="8" w:space="0"/>
              <w:bottom w:val="single" w:color="auto" w:sz="8" w:space="0"/>
            </w:tcBorders>
          </w:tcPr>
          <w:p w14:paraId="69892F7A">
            <w:pPr>
              <w:jc w:val="center"/>
              <w:rPr>
                <w:sz w:val="18"/>
                <w:szCs w:val="18"/>
              </w:rPr>
            </w:pPr>
            <w:r>
              <w:rPr>
                <w:sz w:val="18"/>
                <w:szCs w:val="18"/>
              </w:rPr>
              <w:t>指  标</w:t>
            </w:r>
          </w:p>
        </w:tc>
        <w:tc>
          <w:tcPr>
            <w:tcW w:w="3190" w:type="dxa"/>
            <w:tcBorders>
              <w:top w:val="single" w:color="auto" w:sz="8" w:space="0"/>
              <w:bottom w:val="single" w:color="auto" w:sz="8" w:space="0"/>
            </w:tcBorders>
          </w:tcPr>
          <w:p w14:paraId="4EEF4066">
            <w:pPr>
              <w:jc w:val="center"/>
              <w:rPr>
                <w:sz w:val="18"/>
                <w:szCs w:val="18"/>
              </w:rPr>
            </w:pPr>
            <w:r>
              <w:rPr>
                <w:sz w:val="18"/>
                <w:szCs w:val="18"/>
              </w:rPr>
              <w:t>检验方法</w:t>
            </w:r>
          </w:p>
        </w:tc>
      </w:tr>
      <w:tr w14:paraId="12A93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bottom w:val="single" w:color="auto" w:sz="4" w:space="0"/>
            </w:tcBorders>
          </w:tcPr>
          <w:p w14:paraId="7DBD9AA9">
            <w:pPr>
              <w:rPr>
                <w:sz w:val="18"/>
                <w:szCs w:val="18"/>
              </w:rPr>
            </w:pPr>
            <w:r>
              <w:rPr>
                <w:rFonts w:hAnsi="宋体"/>
                <w:sz w:val="18"/>
                <w:szCs w:val="18"/>
              </w:rPr>
              <w:t>铅</w:t>
            </w:r>
            <w:r>
              <w:rPr>
                <w:rFonts w:hint="eastAsia" w:hAnsi="宋体" w:eastAsia="宋体"/>
                <w:sz w:val="18"/>
                <w:szCs w:val="18"/>
              </w:rPr>
              <w:t>（</w:t>
            </w:r>
            <w:r>
              <w:rPr>
                <w:rFonts w:hAnsi="宋体"/>
                <w:sz w:val="18"/>
                <w:szCs w:val="18"/>
              </w:rPr>
              <w:t>以</w:t>
            </w:r>
            <w:r>
              <w:rPr>
                <w:sz w:val="18"/>
                <w:szCs w:val="18"/>
              </w:rPr>
              <w:t>Pb</w:t>
            </w:r>
            <w:r>
              <w:rPr>
                <w:rFonts w:hAnsi="宋体"/>
                <w:sz w:val="18"/>
                <w:szCs w:val="18"/>
              </w:rPr>
              <w:t>计</w:t>
            </w:r>
            <w:r>
              <w:rPr>
                <w:rFonts w:hint="eastAsia" w:eastAsia="宋体"/>
                <w:sz w:val="18"/>
                <w:szCs w:val="18"/>
              </w:rPr>
              <w:t>）</w:t>
            </w:r>
            <w:r>
              <w:rPr>
                <w:rFonts w:hAnsi="宋体"/>
                <w:sz w:val="18"/>
                <w:szCs w:val="18"/>
              </w:rPr>
              <w:t>，</w:t>
            </w:r>
            <w:r>
              <w:rPr>
                <w:sz w:val="18"/>
                <w:szCs w:val="18"/>
              </w:rPr>
              <w:t xml:space="preserve">mg/kg           </w:t>
            </w:r>
            <w:r>
              <w:rPr>
                <w:rFonts w:hint="eastAsia" w:eastAsia="宋体"/>
                <w:sz w:val="18"/>
                <w:szCs w:val="18"/>
              </w:rPr>
              <w:t xml:space="preserve">   </w:t>
            </w:r>
            <w:r>
              <w:rPr>
                <w:rFonts w:hint="eastAsia"/>
                <w:sz w:val="18"/>
                <w:szCs w:val="18"/>
              </w:rPr>
              <w:t xml:space="preserve"> </w:t>
            </w:r>
            <w:r>
              <w:rPr>
                <w:sz w:val="18"/>
                <w:szCs w:val="18"/>
              </w:rPr>
              <w:t xml:space="preserve"> </w:t>
            </w:r>
            <w:r>
              <w:rPr>
                <w:rFonts w:ascii="宋体" w:hAnsi="宋体"/>
                <w:sz w:val="18"/>
                <w:szCs w:val="18"/>
              </w:rPr>
              <w:t>≤</w:t>
            </w:r>
          </w:p>
        </w:tc>
        <w:tc>
          <w:tcPr>
            <w:tcW w:w="3190" w:type="dxa"/>
            <w:tcBorders>
              <w:bottom w:val="single" w:color="auto" w:sz="4" w:space="0"/>
            </w:tcBorders>
          </w:tcPr>
          <w:p w14:paraId="6DE34BD0">
            <w:pPr>
              <w:jc w:val="center"/>
              <w:rPr>
                <w:rFonts w:eastAsiaTheme="minorEastAsia"/>
                <w:sz w:val="18"/>
                <w:szCs w:val="18"/>
              </w:rPr>
            </w:pPr>
            <w:r>
              <w:rPr>
                <w:rFonts w:eastAsia="宋体"/>
                <w:sz w:val="18"/>
                <w:szCs w:val="18"/>
              </w:rPr>
              <w:t>0.</w:t>
            </w:r>
            <w:r>
              <w:rPr>
                <w:rFonts w:hint="eastAsia" w:eastAsia="宋体"/>
                <w:sz w:val="18"/>
                <w:szCs w:val="18"/>
              </w:rPr>
              <w:t>5</w:t>
            </w:r>
          </w:p>
        </w:tc>
        <w:tc>
          <w:tcPr>
            <w:tcW w:w="3190" w:type="dxa"/>
            <w:tcBorders>
              <w:bottom w:val="single" w:color="auto" w:sz="4" w:space="0"/>
            </w:tcBorders>
          </w:tcPr>
          <w:p w14:paraId="43E065AB">
            <w:pPr>
              <w:jc w:val="center"/>
              <w:rPr>
                <w:sz w:val="18"/>
                <w:szCs w:val="18"/>
              </w:rPr>
            </w:pPr>
            <w:r>
              <w:rPr>
                <w:sz w:val="18"/>
                <w:szCs w:val="18"/>
              </w:rPr>
              <w:t>GB 5009.12</w:t>
            </w:r>
          </w:p>
        </w:tc>
      </w:tr>
      <w:tr w14:paraId="2335D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bottom w:val="single" w:color="auto" w:sz="4" w:space="0"/>
            </w:tcBorders>
          </w:tcPr>
          <w:p w14:paraId="0165D413">
            <w:pPr>
              <w:rPr>
                <w:sz w:val="18"/>
                <w:szCs w:val="18"/>
              </w:rPr>
            </w:pPr>
            <w:r>
              <w:rPr>
                <w:rFonts w:hAnsi="宋体"/>
                <w:sz w:val="18"/>
                <w:szCs w:val="18"/>
              </w:rPr>
              <w:t>镉</w:t>
            </w:r>
            <w:r>
              <w:rPr>
                <w:rFonts w:hint="eastAsia" w:eastAsia="宋体"/>
                <w:sz w:val="18"/>
                <w:szCs w:val="18"/>
              </w:rPr>
              <w:t>（</w:t>
            </w:r>
            <w:r>
              <w:rPr>
                <w:rFonts w:hAnsi="宋体"/>
                <w:sz w:val="18"/>
                <w:szCs w:val="18"/>
              </w:rPr>
              <w:t>以</w:t>
            </w:r>
            <w:r>
              <w:rPr>
                <w:sz w:val="18"/>
                <w:szCs w:val="18"/>
              </w:rPr>
              <w:t>Cd</w:t>
            </w:r>
            <w:r>
              <w:rPr>
                <w:rFonts w:hAnsi="宋体"/>
                <w:sz w:val="18"/>
                <w:szCs w:val="18"/>
              </w:rPr>
              <w:t>计</w:t>
            </w:r>
            <w:r>
              <w:rPr>
                <w:rFonts w:hint="eastAsia" w:eastAsia="宋体"/>
                <w:sz w:val="18"/>
                <w:szCs w:val="18"/>
              </w:rPr>
              <w:t>）</w:t>
            </w:r>
            <w:r>
              <w:rPr>
                <w:rFonts w:hAnsi="宋体"/>
                <w:sz w:val="18"/>
                <w:szCs w:val="18"/>
              </w:rPr>
              <w:t>，</w:t>
            </w:r>
            <w:r>
              <w:rPr>
                <w:sz w:val="18"/>
                <w:szCs w:val="18"/>
              </w:rPr>
              <w:t xml:space="preserve">mg/kg            </w:t>
            </w:r>
            <w:r>
              <w:rPr>
                <w:rFonts w:hint="eastAsia" w:eastAsia="宋体"/>
                <w:sz w:val="18"/>
                <w:szCs w:val="18"/>
              </w:rPr>
              <w:t xml:space="preserve">   </w:t>
            </w:r>
            <w:r>
              <w:rPr>
                <w:rFonts w:ascii="宋体" w:hAnsi="宋体"/>
                <w:sz w:val="18"/>
                <w:szCs w:val="18"/>
              </w:rPr>
              <w:t>≤</w:t>
            </w:r>
          </w:p>
        </w:tc>
        <w:tc>
          <w:tcPr>
            <w:tcW w:w="3190" w:type="dxa"/>
            <w:tcBorders>
              <w:top w:val="single" w:color="auto" w:sz="4" w:space="0"/>
              <w:bottom w:val="single" w:color="auto" w:sz="4" w:space="0"/>
            </w:tcBorders>
          </w:tcPr>
          <w:p w14:paraId="3A858D88">
            <w:pPr>
              <w:jc w:val="center"/>
              <w:rPr>
                <w:rFonts w:eastAsia="宋体"/>
                <w:sz w:val="18"/>
                <w:szCs w:val="18"/>
              </w:rPr>
            </w:pPr>
            <w:r>
              <w:rPr>
                <w:rFonts w:hint="eastAsia" w:eastAsia="宋体"/>
                <w:sz w:val="18"/>
                <w:szCs w:val="18"/>
              </w:rPr>
              <w:t>0.5</w:t>
            </w:r>
          </w:p>
        </w:tc>
        <w:tc>
          <w:tcPr>
            <w:tcW w:w="3190" w:type="dxa"/>
            <w:tcBorders>
              <w:top w:val="single" w:color="auto" w:sz="4" w:space="0"/>
              <w:bottom w:val="single" w:color="auto" w:sz="4" w:space="0"/>
            </w:tcBorders>
          </w:tcPr>
          <w:p w14:paraId="30936FD4">
            <w:pPr>
              <w:jc w:val="center"/>
              <w:rPr>
                <w:sz w:val="18"/>
                <w:szCs w:val="18"/>
              </w:rPr>
            </w:pPr>
            <w:r>
              <w:rPr>
                <w:sz w:val="18"/>
                <w:szCs w:val="18"/>
              </w:rPr>
              <w:t>GB 5009.15</w:t>
            </w:r>
          </w:p>
        </w:tc>
      </w:tr>
    </w:tbl>
    <w:p w14:paraId="63EBBA00">
      <w:pPr>
        <w:spacing w:before="66" w:line="226" w:lineRule="auto"/>
        <w:rPr>
          <w:rFonts w:hint="eastAsia" w:ascii="宋体" w:hAnsi="宋体" w:eastAsia="宋体" w:cs="宋体"/>
          <w:sz w:val="20"/>
          <w:szCs w:val="20"/>
        </w:rPr>
      </w:pPr>
    </w:p>
    <w:p w14:paraId="654B8623">
      <w:pPr>
        <w:pStyle w:val="16"/>
        <w:tabs>
          <w:tab w:val="center" w:pos="4201"/>
          <w:tab w:val="right" w:leader="dot" w:pos="9298"/>
        </w:tabs>
        <w:spacing w:line="360" w:lineRule="auto"/>
        <w:ind w:firstLine="0" w:firstLineChars="0"/>
        <w:rPr>
          <w:rFonts w:hint="eastAsia" w:ascii="黑体" w:hAnsi="黑体" w:eastAsia="黑体" w:cs="黑体"/>
          <w:snapToGrid w:val="0"/>
          <w:color w:val="000000"/>
          <w:spacing w:val="2"/>
          <w:szCs w:val="21"/>
        </w:rPr>
      </w:pPr>
      <w:r>
        <w:rPr>
          <w:rFonts w:hint="eastAsia" w:ascii="黑体" w:hAnsi="黑体" w:eastAsia="黑体" w:cs="黑体"/>
          <w:snapToGrid w:val="0"/>
          <w:color w:val="000000"/>
          <w:spacing w:val="2"/>
          <w:szCs w:val="21"/>
        </w:rPr>
        <w:t>4.5 农药残留限量</w:t>
      </w:r>
    </w:p>
    <w:p w14:paraId="1D65DB63">
      <w:pPr>
        <w:pStyle w:val="16"/>
        <w:tabs>
          <w:tab w:val="center" w:pos="4201"/>
          <w:tab w:val="right" w:leader="dot" w:pos="9298"/>
        </w:tabs>
        <w:ind w:firstLine="420"/>
        <w:rPr>
          <w:rFonts w:hint="eastAsia" w:asciiTheme="minorEastAsia" w:hAnsiTheme="minorEastAsia" w:eastAsiaTheme="minorEastAsia"/>
          <w:szCs w:val="21"/>
        </w:rPr>
      </w:pPr>
      <w:r>
        <w:rPr>
          <w:rFonts w:hint="eastAsia" w:cs="宋体" w:asciiTheme="minorEastAsia" w:hAnsiTheme="minorEastAsia" w:eastAsiaTheme="minorEastAsia"/>
          <w:snapToGrid w:val="0"/>
          <w:color w:val="000000"/>
          <w:szCs w:val="21"/>
        </w:rPr>
        <w:t>农药残留应符合GB 2763的规定。</w:t>
      </w:r>
    </w:p>
    <w:p w14:paraId="679E234E">
      <w:pPr>
        <w:spacing w:before="66" w:line="360" w:lineRule="auto"/>
        <w:outlineLvl w:val="0"/>
        <w:rPr>
          <w:rFonts w:hint="eastAsia" w:ascii="黑体" w:hAnsi="黑体" w:eastAsia="黑体" w:cs="黑体"/>
          <w:spacing w:val="2"/>
        </w:rPr>
      </w:pPr>
      <w:bookmarkStart w:id="8" w:name="_bookmark4"/>
      <w:bookmarkEnd w:id="8"/>
      <w:r>
        <w:rPr>
          <w:rFonts w:hint="eastAsia" w:ascii="黑体" w:hAnsi="黑体" w:eastAsia="黑体" w:cs="黑体"/>
          <w:spacing w:val="2"/>
        </w:rPr>
        <w:t>5  其他</w:t>
      </w:r>
    </w:p>
    <w:p w14:paraId="38BD45F9">
      <w:pPr>
        <w:spacing w:line="360" w:lineRule="auto"/>
        <w:rPr>
          <w:rFonts w:hint="eastAsia" w:cs="宋体" w:asciiTheme="minorEastAsia" w:hAnsiTheme="minorEastAsia" w:eastAsiaTheme="minorEastAsia"/>
        </w:rPr>
      </w:pPr>
      <w:bookmarkStart w:id="9" w:name="_bookmark5"/>
      <w:bookmarkEnd w:id="9"/>
      <w:r>
        <w:rPr>
          <w:rFonts w:hint="eastAsia" w:ascii="黑体" w:hAnsi="黑体" w:eastAsia="黑体" w:cs="黑体"/>
        </w:rPr>
        <w:t xml:space="preserve">5.1 </w:t>
      </w:r>
      <w:r>
        <w:rPr>
          <w:rFonts w:hint="eastAsia" w:cs="宋体" w:asciiTheme="minorEastAsia" w:hAnsiTheme="minorEastAsia" w:eastAsiaTheme="minorEastAsia"/>
        </w:rPr>
        <w:t xml:space="preserve">推荐食用量≤5克/天。 </w:t>
      </w:r>
    </w:p>
    <w:p w14:paraId="503224BE">
      <w:pPr>
        <w:spacing w:line="360" w:lineRule="auto"/>
        <w:rPr>
          <w:rFonts w:hint="eastAsia" w:cs="宋体" w:asciiTheme="minorEastAsia" w:hAnsiTheme="minorEastAsia" w:eastAsiaTheme="minorEastAsia"/>
        </w:rPr>
      </w:pPr>
      <w:r>
        <w:rPr>
          <w:rFonts w:hint="eastAsia" w:ascii="黑体" w:hAnsi="黑体" w:eastAsia="黑体" w:cs="黑体"/>
        </w:rPr>
        <w:t xml:space="preserve">5.2 </w:t>
      </w:r>
      <w:r>
        <w:rPr>
          <w:rFonts w:hint="eastAsia" w:cs="宋体" w:asciiTheme="minorEastAsia" w:hAnsiTheme="minorEastAsia" w:eastAsiaTheme="minorEastAsia"/>
        </w:rPr>
        <w:t xml:space="preserve">以桑黄做食品原料，成品折算日摄入总量不应超过“推荐食用量”。 </w:t>
      </w:r>
    </w:p>
    <w:p w14:paraId="2EB86B36">
      <w:pPr>
        <w:spacing w:line="360" w:lineRule="auto"/>
        <w:rPr>
          <w:rFonts w:hint="eastAsia" w:cs="宋体" w:asciiTheme="minorEastAsia" w:hAnsiTheme="minorEastAsia" w:eastAsiaTheme="minorEastAsia"/>
        </w:rPr>
      </w:pPr>
      <w:r>
        <w:rPr>
          <w:rFonts w:hint="eastAsia" w:ascii="黑体" w:hAnsi="黑体" w:eastAsia="黑体" w:cs="黑体"/>
        </w:rPr>
        <w:t xml:space="preserve">5.3 </w:t>
      </w:r>
      <w:r>
        <w:rPr>
          <w:rFonts w:hint="eastAsia" w:cs="宋体" w:asciiTheme="minorEastAsia" w:hAnsiTheme="minorEastAsia" w:eastAsiaTheme="minorEastAsia"/>
        </w:rPr>
        <w:t xml:space="preserve">含桑黄原料的预包装食品产品标签应标示“婴幼儿、孕妇及乳母不宜食用”“桑黄推荐食用量≤5克/天”等警示语。 </w:t>
      </w:r>
    </w:p>
    <w:p w14:paraId="73F5B674">
      <w:pPr>
        <w:spacing w:line="360" w:lineRule="auto"/>
        <w:jc w:val="both"/>
        <w:rPr>
          <w:rFonts w:hint="eastAsia" w:cs="宋体" w:asciiTheme="minorEastAsia" w:hAnsiTheme="minorEastAsia" w:eastAsiaTheme="minorEastAsia"/>
        </w:rPr>
      </w:pPr>
      <w:r>
        <w:rPr>
          <w:rFonts w:hint="eastAsia" w:ascii="黑体" w:hAnsi="黑体" w:eastAsia="黑体" w:cs="黑体"/>
        </w:rPr>
        <w:t xml:space="preserve">5.4 </w:t>
      </w:r>
      <w:r>
        <w:rPr>
          <w:rFonts w:hint="eastAsia" w:ascii="宋体" w:hAnsi="宋体" w:eastAsia="宋体" w:cs="宋体"/>
          <w:sz w:val="20"/>
          <w:szCs w:val="20"/>
        </w:rPr>
        <w:t>预包装食品产品相关标签标识应符合GB7718、GB28050的规定，不应涉及疾病预防及治疗功能。</w:t>
      </w:r>
    </w:p>
    <w:p w14:paraId="3465770E">
      <w:pPr>
        <w:spacing w:line="309" w:lineRule="auto"/>
        <w:jc w:val="center"/>
        <w:rPr>
          <w:rFonts w:hint="eastAsia" w:ascii="宋体" w:hAnsi="宋体" w:eastAsia="宋体" w:cs="宋体"/>
          <w:position w:val="10"/>
          <w:sz w:val="20"/>
          <w:szCs w:val="20"/>
        </w:rPr>
      </w:pPr>
      <w:r>
        <w:rPr>
          <w:sz w:val="20"/>
        </w:rPr>
        <mc:AlternateContent>
          <mc:Choice Requires="wps">
            <w:drawing>
              <wp:anchor distT="0" distB="0" distL="114300" distR="114300" simplePos="0" relativeHeight="251664384" behindDoc="0" locked="0" layoutInCell="1" allowOverlap="1">
                <wp:simplePos x="0" y="0"/>
                <wp:positionH relativeFrom="column">
                  <wp:posOffset>1113790</wp:posOffset>
                </wp:positionH>
                <wp:positionV relativeFrom="paragraph">
                  <wp:posOffset>168275</wp:posOffset>
                </wp:positionV>
                <wp:extent cx="3192145" cy="8255"/>
                <wp:effectExtent l="0" t="4445" r="8255" b="6350"/>
                <wp:wrapNone/>
                <wp:docPr id="1" name="直接连接符 1"/>
                <wp:cNvGraphicFramePr/>
                <a:graphic xmlns:a="http://schemas.openxmlformats.org/drawingml/2006/main">
                  <a:graphicData uri="http://schemas.microsoft.com/office/word/2010/wordprocessingShape">
                    <wps:wsp>
                      <wps:cNvCnPr/>
                      <wps:spPr>
                        <a:xfrm flipV="1">
                          <a:off x="0" y="0"/>
                          <a:ext cx="3192145" cy="8255"/>
                        </a:xfrm>
                        <a:prstGeom prst="line">
                          <a:avLst/>
                        </a:prstGeom>
                        <a:ln w="0" cmpd="sng">
                          <a:solidFill>
                            <a:schemeClr val="tx1">
                              <a:lumMod val="75000"/>
                              <a:lumOff val="25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87.7pt;margin-top:13.25pt;height:0.65pt;width:251.35pt;z-index:251664384;mso-width-relative:page;mso-height-relative:page;" filled="f" stroked="t" coordsize="21600,21600" o:gfxdata="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P86QXWAAAACQEAAA8AAAAAAAAAAQAgAAAAIgAAAGRycy9kb3ducmV2LnhtbFBL&#10;AQIUABQAAAAIAIdO4kCyVVpZ+AEAAN0DAAAOAAAAAAAAAAEAIAAAACUBAABkcnMvZTJvRG9jLnht&#10;bFBLBQYAAAAABgAGAFkBAACPBQAAAAA=&#10;">
                <v:fill on="f" focussize="0,0"/>
                <v:stroke weight="0pt" color="#404040 [2429]" joinstyle="round"/>
                <v:imagedata o:title=""/>
                <o:lock v:ext="edit" aspectratio="f"/>
              </v:line>
            </w:pict>
          </mc:Fallback>
        </mc:AlternateContent>
      </w:r>
    </w:p>
    <w:sectPr>
      <w:footerReference r:id="rId9" w:type="default"/>
      <w:pgSz w:w="11906" w:h="16839"/>
      <w:pgMar w:top="1406" w:right="1080" w:bottom="1313" w:left="1420" w:header="0" w:footer="113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291D">
    <w:pPr>
      <w:pStyle w:val="4"/>
      <w:tabs>
        <w:tab w:val="left" w:pos="360"/>
      </w:tabs>
      <w:ind w:left="8715"/>
      <w:rPr>
        <w:rStyle w:val="10"/>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3154C">
                          <w:pPr>
                            <w:pStyle w:val="4"/>
                            <w:tabs>
                              <w:tab w:val="left" w:pos="360"/>
                            </w:tabs>
                            <w:jc w:val="both"/>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6AC3154C">
                    <w:pPr>
                      <w:pStyle w:val="4"/>
                      <w:tabs>
                        <w:tab w:val="left" w:pos="360"/>
                      </w:tabs>
                      <w:jc w:val="both"/>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5CE2">
    <w:pPr>
      <w:pStyle w:val="4"/>
      <w:tabs>
        <w:tab w:val="left" w:pos="360"/>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F716">
    <w:pPr>
      <w:spacing w:line="192" w:lineRule="auto"/>
      <w:ind w:right="225"/>
      <w:jc w:val="right"/>
      <w:rPr>
        <w:rFonts w:hint="eastAsia" w:ascii="宋体" w:hAnsi="宋体" w:eastAsia="宋体" w:cs="宋体"/>
        <w:sz w:val="17"/>
        <w:szCs w:val="17"/>
      </w:rPr>
    </w:pPr>
    <w:r>
      <w:rPr>
        <w:rFonts w:ascii="宋体" w:hAnsi="宋体" w:eastAsia="宋体" w:cs="宋体"/>
        <w:spacing w:val="-3"/>
        <w:sz w:val="17"/>
        <w:szCs w:val="17"/>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EB39">
    <w:pPr>
      <w:spacing w:line="194" w:lineRule="auto"/>
      <w:ind w:right="266"/>
      <w:jc w:val="right"/>
      <w:rPr>
        <w:rFonts w:hint="eastAsia"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99DB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2899DB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1AAC">
    <w:pPr>
      <w:pStyle w:val="5"/>
      <w:tabs>
        <w:tab w:val="left" w:pos="360"/>
        <w:tab w:val="left" w:pos="1858"/>
        <w:tab w:val="center" w:pos="5424"/>
      </w:tabs>
      <w:ind w:firstLine="1440" w:firstLineChars="800"/>
      <w:jc w:val="left"/>
    </w:pPr>
    <w:r>
      <w:rPr>
        <w:rFonts w:hint="eastAsia"/>
      </w:rPr>
      <w:tab/>
    </w:r>
    <w:r>
      <w:rPr>
        <w:rFonts w:hint="eastAsia"/>
      </w:rPr>
      <w:tab/>
    </w:r>
    <w:r>
      <w:rPr>
        <w:rFonts w:hint="eastAsia"/>
      </w:rPr>
      <w:tab/>
    </w:r>
    <w:r>
      <w:rPr>
        <w:rFonts w:hint="eastAsia"/>
      </w:rPr>
      <w:t xml:space="preserve">                                       </w:t>
    </w:r>
    <w:r>
      <w:rPr>
        <w:rFonts w:hint="eastAsia"/>
        <w:b/>
        <w:bCs/>
      </w:rPr>
      <w:t>DBS</w:t>
    </w:r>
    <w:r>
      <w:rPr>
        <w:rFonts w:hint="eastAsia"/>
      </w:rPr>
      <w:t xml:space="preserve"> </w:t>
    </w:r>
    <w:r>
      <w:rPr>
        <w:rFonts w:hint="eastAsia" w:ascii="黑体" w:hAnsi="黑体" w:eastAsia="黑体" w:cs="黑体"/>
      </w:rPr>
      <w:t>37/XXX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037A">
    <w:pPr>
      <w:pStyle w:val="5"/>
      <w:tabs>
        <w:tab w:val="left" w:pos="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7A9A">
    <w:pPr>
      <w:pStyle w:val="5"/>
    </w:pPr>
  </w:p>
  <w:p w14:paraId="3A572C61">
    <w:pPr>
      <w:pStyle w:val="5"/>
    </w:pPr>
  </w:p>
  <w:p w14:paraId="3D4E5530">
    <w:pPr>
      <w:pStyle w:val="5"/>
      <w:tabs>
        <w:tab w:val="left" w:pos="4153"/>
        <w:tab w:val="clear" w:pos="8306"/>
      </w:tabs>
    </w:pPr>
    <w:r>
      <w:tab/>
    </w:r>
  </w:p>
  <w:p w14:paraId="0126E503">
    <w:pPr>
      <w:pStyle w:val="5"/>
    </w:pPr>
  </w:p>
  <w:p w14:paraId="4C2C5E02">
    <w:pPr>
      <w:pStyle w:val="5"/>
    </w:pPr>
  </w:p>
  <w:p w14:paraId="5D1F5C3A">
    <w:pPr>
      <w:pStyle w:val="5"/>
      <w:jc w:val="right"/>
      <w:rPr>
        <w:rFonts w:eastAsia="宋体"/>
      </w:rPr>
    </w:pPr>
    <w:r>
      <w:rPr>
        <w:rFonts w:hint="eastAsia"/>
      </w:rPr>
      <w:t>DB</w:t>
    </w:r>
    <w:r>
      <w:rPr>
        <w:rFonts w:hint="eastAsia" w:eastAsia="宋体"/>
      </w:rPr>
      <w:t>S</w:t>
    </w:r>
    <w:r>
      <w:rPr>
        <w:rFonts w:hint="eastAsia"/>
      </w:rPr>
      <w:t xml:space="preserve"> 37/ </w:t>
    </w:r>
    <w:r>
      <w:rPr>
        <w:rFonts w:hint="eastAsia" w:eastAsia="宋体"/>
      </w:rPr>
      <w:t>005</w:t>
    </w:r>
    <w:r>
      <w:rPr>
        <w:rFonts w:hint="eastAsia" w:eastAsiaTheme="minorEastAsia"/>
      </w:rPr>
      <w:t>-</w:t>
    </w:r>
    <w:r>
      <w:rPr>
        <w:rFonts w:hint="eastAsia" w:eastAsia="宋体"/>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2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1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710" w:firstLine="0"/>
      </w:pPr>
      <w:rPr>
        <w:rFonts w:hint="eastAsia" w:ascii="黑体" w:hAnsi="Times New Roman" w:eastAsia="黑体"/>
        <w:b w:val="0"/>
        <w:i w:val="0"/>
        <w:sz w:val="21"/>
      </w:rPr>
    </w:lvl>
    <w:lvl w:ilvl="2" w:tentative="0">
      <w:start w:val="1"/>
      <w:numFmt w:val="decimal"/>
      <w:suff w:val="nothing"/>
      <w:lvlText w:val="%1%2.%3　"/>
      <w:lvlJc w:val="left"/>
      <w:pPr>
        <w:ind w:left="3403"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VjOGRmYmM1OTc2YWI4Y2NmZWFjMDgyZWY5YTZmYTAifQ=="/>
  </w:docVars>
  <w:rsids>
    <w:rsidRoot w:val="00117267"/>
    <w:rsid w:val="00023B1D"/>
    <w:rsid w:val="00024E8E"/>
    <w:rsid w:val="0004616F"/>
    <w:rsid w:val="000635AE"/>
    <w:rsid w:val="00075DDA"/>
    <w:rsid w:val="00116B79"/>
    <w:rsid w:val="00117267"/>
    <w:rsid w:val="0015318C"/>
    <w:rsid w:val="00154293"/>
    <w:rsid w:val="0016455B"/>
    <w:rsid w:val="00166F6D"/>
    <w:rsid w:val="001D6758"/>
    <w:rsid w:val="002034E0"/>
    <w:rsid w:val="00221E0F"/>
    <w:rsid w:val="00246FBF"/>
    <w:rsid w:val="00252743"/>
    <w:rsid w:val="00270B77"/>
    <w:rsid w:val="0029333F"/>
    <w:rsid w:val="002971AB"/>
    <w:rsid w:val="002A3A20"/>
    <w:rsid w:val="002B2CD4"/>
    <w:rsid w:val="002D13FE"/>
    <w:rsid w:val="002F2E09"/>
    <w:rsid w:val="002F67E0"/>
    <w:rsid w:val="002F7769"/>
    <w:rsid w:val="0030544A"/>
    <w:rsid w:val="0032775A"/>
    <w:rsid w:val="00327F7B"/>
    <w:rsid w:val="00353EA8"/>
    <w:rsid w:val="00360A75"/>
    <w:rsid w:val="00370EEA"/>
    <w:rsid w:val="0039334C"/>
    <w:rsid w:val="003B4D96"/>
    <w:rsid w:val="003D2951"/>
    <w:rsid w:val="003E36B5"/>
    <w:rsid w:val="00411F60"/>
    <w:rsid w:val="00472A18"/>
    <w:rsid w:val="00491B12"/>
    <w:rsid w:val="004923EB"/>
    <w:rsid w:val="004A4B8B"/>
    <w:rsid w:val="004A6D72"/>
    <w:rsid w:val="004D3757"/>
    <w:rsid w:val="004E7C8B"/>
    <w:rsid w:val="004F4CDF"/>
    <w:rsid w:val="00512589"/>
    <w:rsid w:val="0052782F"/>
    <w:rsid w:val="00567D3E"/>
    <w:rsid w:val="00592F4D"/>
    <w:rsid w:val="005D44BF"/>
    <w:rsid w:val="005E5E69"/>
    <w:rsid w:val="006162BA"/>
    <w:rsid w:val="00635F03"/>
    <w:rsid w:val="006501BE"/>
    <w:rsid w:val="00676A6F"/>
    <w:rsid w:val="006859D7"/>
    <w:rsid w:val="006908E7"/>
    <w:rsid w:val="00695AD6"/>
    <w:rsid w:val="006B6539"/>
    <w:rsid w:val="006D22B0"/>
    <w:rsid w:val="00705203"/>
    <w:rsid w:val="0071275D"/>
    <w:rsid w:val="00722E49"/>
    <w:rsid w:val="00740C32"/>
    <w:rsid w:val="007811E9"/>
    <w:rsid w:val="007842F9"/>
    <w:rsid w:val="00787360"/>
    <w:rsid w:val="007902FD"/>
    <w:rsid w:val="00790E9F"/>
    <w:rsid w:val="007E378E"/>
    <w:rsid w:val="007F2B1A"/>
    <w:rsid w:val="007F37B1"/>
    <w:rsid w:val="00807C71"/>
    <w:rsid w:val="0083243E"/>
    <w:rsid w:val="008361C0"/>
    <w:rsid w:val="008451BA"/>
    <w:rsid w:val="00853DF7"/>
    <w:rsid w:val="008861C6"/>
    <w:rsid w:val="008A7FB0"/>
    <w:rsid w:val="008C4080"/>
    <w:rsid w:val="00950194"/>
    <w:rsid w:val="00963EE6"/>
    <w:rsid w:val="009A4CD3"/>
    <w:rsid w:val="009E2FFC"/>
    <w:rsid w:val="009F4839"/>
    <w:rsid w:val="00A16CB1"/>
    <w:rsid w:val="00A16CBE"/>
    <w:rsid w:val="00A20762"/>
    <w:rsid w:val="00A74EB1"/>
    <w:rsid w:val="00AD5FF7"/>
    <w:rsid w:val="00AE25C1"/>
    <w:rsid w:val="00B1785E"/>
    <w:rsid w:val="00B609BC"/>
    <w:rsid w:val="00B842F0"/>
    <w:rsid w:val="00B87108"/>
    <w:rsid w:val="00BA2388"/>
    <w:rsid w:val="00BD2A29"/>
    <w:rsid w:val="00BE7B0D"/>
    <w:rsid w:val="00C01599"/>
    <w:rsid w:val="00C65625"/>
    <w:rsid w:val="00C671DE"/>
    <w:rsid w:val="00C700AC"/>
    <w:rsid w:val="00C703F8"/>
    <w:rsid w:val="00C844E2"/>
    <w:rsid w:val="00CD610B"/>
    <w:rsid w:val="00CE13D7"/>
    <w:rsid w:val="00CE4880"/>
    <w:rsid w:val="00D05063"/>
    <w:rsid w:val="00D23CC1"/>
    <w:rsid w:val="00DB2CBA"/>
    <w:rsid w:val="00DC2DD9"/>
    <w:rsid w:val="00DC383F"/>
    <w:rsid w:val="00DC54D8"/>
    <w:rsid w:val="00DD0D0D"/>
    <w:rsid w:val="00DF7A81"/>
    <w:rsid w:val="00E1271D"/>
    <w:rsid w:val="00E22291"/>
    <w:rsid w:val="00E72247"/>
    <w:rsid w:val="00E92802"/>
    <w:rsid w:val="00EB447F"/>
    <w:rsid w:val="00ED7689"/>
    <w:rsid w:val="00F13653"/>
    <w:rsid w:val="00F228F4"/>
    <w:rsid w:val="00F464E6"/>
    <w:rsid w:val="00F50F51"/>
    <w:rsid w:val="00F70DF8"/>
    <w:rsid w:val="00FF2924"/>
    <w:rsid w:val="010A29DC"/>
    <w:rsid w:val="01341807"/>
    <w:rsid w:val="02145195"/>
    <w:rsid w:val="05EF4C55"/>
    <w:rsid w:val="07E25DE9"/>
    <w:rsid w:val="07FE08AD"/>
    <w:rsid w:val="09966627"/>
    <w:rsid w:val="0C006EB6"/>
    <w:rsid w:val="0D4918B9"/>
    <w:rsid w:val="0E6F3E7F"/>
    <w:rsid w:val="0EA26F32"/>
    <w:rsid w:val="141F1EA3"/>
    <w:rsid w:val="15182CBA"/>
    <w:rsid w:val="168B7804"/>
    <w:rsid w:val="180513B0"/>
    <w:rsid w:val="198D4F18"/>
    <w:rsid w:val="19C47F26"/>
    <w:rsid w:val="1A534654"/>
    <w:rsid w:val="1A811159"/>
    <w:rsid w:val="1A824F3A"/>
    <w:rsid w:val="1AE6196C"/>
    <w:rsid w:val="1AE6371B"/>
    <w:rsid w:val="1C6B7AD8"/>
    <w:rsid w:val="1CB5136C"/>
    <w:rsid w:val="1E7E2C92"/>
    <w:rsid w:val="20337402"/>
    <w:rsid w:val="206C0909"/>
    <w:rsid w:val="216D6944"/>
    <w:rsid w:val="22635651"/>
    <w:rsid w:val="239A7798"/>
    <w:rsid w:val="23A81EB5"/>
    <w:rsid w:val="23C71C0F"/>
    <w:rsid w:val="25D25B62"/>
    <w:rsid w:val="26290220"/>
    <w:rsid w:val="27665239"/>
    <w:rsid w:val="28543E4C"/>
    <w:rsid w:val="28EA087A"/>
    <w:rsid w:val="2AE9690F"/>
    <w:rsid w:val="323D5255"/>
    <w:rsid w:val="32AE0B6A"/>
    <w:rsid w:val="32ED1692"/>
    <w:rsid w:val="34F2229C"/>
    <w:rsid w:val="366001D2"/>
    <w:rsid w:val="36826596"/>
    <w:rsid w:val="3709472E"/>
    <w:rsid w:val="376C6D5A"/>
    <w:rsid w:val="3984436A"/>
    <w:rsid w:val="3B491430"/>
    <w:rsid w:val="3CEB6517"/>
    <w:rsid w:val="3D6307DC"/>
    <w:rsid w:val="3E605A42"/>
    <w:rsid w:val="41F83BB0"/>
    <w:rsid w:val="439F1050"/>
    <w:rsid w:val="43F45FB4"/>
    <w:rsid w:val="44F63392"/>
    <w:rsid w:val="465C6B5C"/>
    <w:rsid w:val="469A6F5A"/>
    <w:rsid w:val="46EE38C2"/>
    <w:rsid w:val="474C59F4"/>
    <w:rsid w:val="4795551B"/>
    <w:rsid w:val="47F646F8"/>
    <w:rsid w:val="48343AEC"/>
    <w:rsid w:val="492E749F"/>
    <w:rsid w:val="4997155B"/>
    <w:rsid w:val="49E656E9"/>
    <w:rsid w:val="4AA037B6"/>
    <w:rsid w:val="4B932E33"/>
    <w:rsid w:val="4BA22D7C"/>
    <w:rsid w:val="4CCC3C6F"/>
    <w:rsid w:val="4D0007BD"/>
    <w:rsid w:val="4ECF7A46"/>
    <w:rsid w:val="4FA06E5A"/>
    <w:rsid w:val="4FA2466D"/>
    <w:rsid w:val="51F53C68"/>
    <w:rsid w:val="52100AA2"/>
    <w:rsid w:val="52203C3B"/>
    <w:rsid w:val="52B4142D"/>
    <w:rsid w:val="53D578AD"/>
    <w:rsid w:val="543931A3"/>
    <w:rsid w:val="56A21DA1"/>
    <w:rsid w:val="584638DB"/>
    <w:rsid w:val="59AD6B2F"/>
    <w:rsid w:val="5A7E67DB"/>
    <w:rsid w:val="5D3F45A2"/>
    <w:rsid w:val="5F927F59"/>
    <w:rsid w:val="622C2785"/>
    <w:rsid w:val="62465371"/>
    <w:rsid w:val="626A5FAC"/>
    <w:rsid w:val="628A03FC"/>
    <w:rsid w:val="629B6165"/>
    <w:rsid w:val="62C31218"/>
    <w:rsid w:val="6439152D"/>
    <w:rsid w:val="657B5DDA"/>
    <w:rsid w:val="657D254E"/>
    <w:rsid w:val="65956E9C"/>
    <w:rsid w:val="666F5074"/>
    <w:rsid w:val="66793B07"/>
    <w:rsid w:val="67897E58"/>
    <w:rsid w:val="679010BF"/>
    <w:rsid w:val="67DB0DB2"/>
    <w:rsid w:val="6873723D"/>
    <w:rsid w:val="68780C13"/>
    <w:rsid w:val="695439AB"/>
    <w:rsid w:val="6A55309E"/>
    <w:rsid w:val="6A6B466F"/>
    <w:rsid w:val="6D3F3B91"/>
    <w:rsid w:val="6DF01840"/>
    <w:rsid w:val="6E5D23A8"/>
    <w:rsid w:val="6ED04123"/>
    <w:rsid w:val="6F346F87"/>
    <w:rsid w:val="70A66401"/>
    <w:rsid w:val="70F25973"/>
    <w:rsid w:val="71FC02A3"/>
    <w:rsid w:val="723C7EF1"/>
    <w:rsid w:val="723D2D81"/>
    <w:rsid w:val="72BA43E6"/>
    <w:rsid w:val="7364719B"/>
    <w:rsid w:val="73C71069"/>
    <w:rsid w:val="73FB2722"/>
    <w:rsid w:val="78B07223"/>
    <w:rsid w:val="7AEA5A84"/>
    <w:rsid w:val="7B5B424C"/>
    <w:rsid w:val="7FF7EF2C"/>
    <w:rsid w:val="DCBE15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0"/>
    <w:pPr>
      <w:keepNext/>
      <w:keepLines/>
      <w:tabs>
        <w:tab w:val="left" w:pos="360"/>
      </w:tabs>
      <w:spacing w:before="260" w:after="260" w:line="416" w:lineRule="auto"/>
      <w:outlineLvl w:val="1"/>
    </w:pPr>
    <w:rPr>
      <w:rFonts w:eastAsia="黑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rPr>
      <w:rFonts w:hint="eastAsia"/>
      <w:szCs w:val="24"/>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cs="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Times New Roman" w:hAnsi="Times New Roman" w:eastAsia="宋体"/>
      <w:sz w:val="18"/>
    </w:rPr>
  </w:style>
  <w:style w:type="character" w:styleId="11">
    <w:name w:val="Emphasis"/>
    <w:basedOn w:val="9"/>
    <w:qFormat/>
    <w:uiPriority w:val="0"/>
    <w:rPr>
      <w:i/>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封面正文"/>
    <w:qFormat/>
    <w:uiPriority w:val="0"/>
    <w:pPr>
      <w:jc w:val="both"/>
    </w:pPr>
    <w:rPr>
      <w:rFonts w:ascii="Times New Roman" w:hAnsi="Times New Roman" w:eastAsia="宋体" w:cs="Times New Roman"/>
      <w:lang w:val="en-US" w:eastAsia="zh-CN" w:bidi="ar-SA"/>
    </w:rPr>
  </w:style>
  <w:style w:type="paragraph" w:customStyle="1" w:styleId="14">
    <w:name w:val="目次、标准名称标题"/>
    <w:basedOn w:val="15"/>
    <w:next w:val="16"/>
    <w:qFormat/>
    <w:uiPriority w:val="0"/>
    <w:pPr>
      <w:numPr>
        <w:numId w:val="0"/>
      </w:numPr>
      <w:tabs>
        <w:tab w:val="left" w:pos="360"/>
        <w:tab w:val="left" w:pos="9215"/>
      </w:tabs>
      <w:spacing w:line="460" w:lineRule="exact"/>
    </w:pPr>
  </w:style>
  <w:style w:type="paragraph" w:customStyle="1" w:styleId="1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4">
    <w:name w:val="二级无"/>
    <w:basedOn w:val="25"/>
    <w:qFormat/>
    <w:uiPriority w:val="0"/>
    <w:pPr>
      <w:spacing w:before="0" w:beforeLines="0" w:after="0" w:afterLines="0"/>
    </w:pPr>
    <w:rPr>
      <w:rFonts w:ascii="宋体" w:eastAsia="宋体"/>
    </w:rPr>
  </w:style>
  <w:style w:type="paragraph" w:customStyle="1" w:styleId="25">
    <w:name w:val="二级条标题"/>
    <w:basedOn w:val="26"/>
    <w:next w:val="16"/>
    <w:qFormat/>
    <w:uiPriority w:val="0"/>
    <w:pPr>
      <w:numPr>
        <w:ilvl w:val="2"/>
      </w:numPr>
      <w:spacing w:before="50" w:after="50"/>
      <w:outlineLvl w:val="3"/>
    </w:pPr>
  </w:style>
  <w:style w:type="paragraph" w:customStyle="1" w:styleId="26">
    <w:name w:val="一级条标题"/>
    <w:next w:val="16"/>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7">
    <w:name w:val="正文表标题"/>
    <w:next w:val="16"/>
    <w:qFormat/>
    <w:uiPriority w:val="0"/>
    <w:pPr>
      <w:numPr>
        <w:ilvl w:val="0"/>
        <w:numId w:val="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8">
    <w:name w:val="修订1"/>
    <w:hidden/>
    <w:unhideWhenUsed/>
    <w:qFormat/>
    <w:uiPriority w:val="99"/>
    <w:rPr>
      <w:rFonts w:ascii="Arial" w:hAnsi="Arial" w:eastAsia="Arial" w:cs="Arial"/>
      <w:snapToGrid w:val="0"/>
      <w:color w:val="000000"/>
      <w:sz w:val="21"/>
      <w:szCs w:val="21"/>
      <w:lang w:val="en-US" w:eastAsia="zh-CN" w:bidi="ar-SA"/>
    </w:rPr>
  </w:style>
  <w:style w:type="paragraph" w:customStyle="1" w:styleId="29">
    <w:name w:val="Revision"/>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896</Words>
  <Characters>1085</Characters>
  <Lines>13</Lines>
  <Paragraphs>3</Paragraphs>
  <TotalTime>4</TotalTime>
  <ScaleCrop>false</ScaleCrop>
  <LinksUpToDate>false</LinksUpToDate>
  <CharactersWithSpaces>1215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2023-03-09T06:24:00Z</dcterms:created>
  <dc:creator>Lenovo</dc:creator>
  <cp:lastModifiedBy>都市桃源主人</cp:lastModifiedBy>
  <cp:lastPrinted>2023-05-06T00:32:00Z</cp:lastPrinted>
  <dcterms:modified xsi:type="dcterms:W3CDTF">2026-05-06T06:05:56Z</dcterms:modified>
  <dc:title>地方标准</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2023-03-10T10:44:38Z</vt:filetime>
  </property>
  <property fmtid="{D5CDD505-2E9C-101B-9397-08002B2CF9AE}" pid="4" name="KSOProductBuildVer">
    <vt:lpwstr>2052-12.1.0.25225</vt:lpwstr>
  </property>
  <property fmtid="{D5CDD505-2E9C-101B-9397-08002B2CF9AE}" pid="5" name="ICV">
    <vt:lpwstr>CE4B4878F7FC4176BBD3D459B50D8786_13</vt:lpwstr>
  </property>
  <property fmtid="{D5CDD505-2E9C-101B-9397-08002B2CF9AE}" pid="6" name="KSOTemplateDocerSaveRecord">
    <vt:lpwstr>eyJoZGlkIjoiM2U2Zjg1OTc5NWMzNWEzMWZiNTkxZjBhNTQzNDFkMWMiLCJ1c2VySWQiOiI0Njc5MjU1OTcifQ==</vt:lpwstr>
  </property>
</Properties>
</file>